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版本号：ZCSP-渭南市-2025-0092620251225001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编制渭南海绵城市地方技术导则指南</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ZCSP-渭南市-2025-00926</w:t>
      </w:r>
      <w:r>
        <w:br/>
      </w:r>
      <w:r>
        <w:br/>
      </w:r>
      <w:r>
        <w:br/>
      </w:r>
    </w:p>
    <w:p>
      <w:pPr>
        <w:pStyle w:val="null3"/>
        <w:jc w:val="center"/>
        <w:outlineLvl w:val="2"/>
      </w:pPr>
      <w:r>
        <w:rPr>
          <w:rFonts w:ascii="仿宋_GB2312" w:hAnsi="仿宋_GB2312" w:cs="仿宋_GB2312" w:eastAsia="仿宋_GB2312"/>
          <w:sz w:val="28"/>
          <w:b/>
        </w:rPr>
        <w:t>渭南市住房和城乡建设局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渭南市住房和城乡建设局</w:t>
      </w:r>
      <w:r>
        <w:rPr>
          <w:rFonts w:ascii="仿宋_GB2312" w:hAnsi="仿宋_GB2312" w:cs="仿宋_GB2312" w:eastAsia="仿宋_GB2312"/>
        </w:rPr>
        <w:t>委托，拟对</w:t>
      </w:r>
      <w:r>
        <w:rPr>
          <w:rFonts w:ascii="仿宋_GB2312" w:hAnsi="仿宋_GB2312" w:cs="仿宋_GB2312" w:eastAsia="仿宋_GB2312"/>
        </w:rPr>
        <w:t>编制渭南海绵城市地方技术导则指南</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ZCSP-渭南市-2025-00926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编制渭南海绵城市地方技术导则指南</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为全力推进渭南市海绵城市规划设计、建设管理等工作，完善渭南市本地化的海绵城市技术标准体系，实施编制渭南海绵城市地方技术导则指南项目。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1、法定代表人身份证明书/法定代表人授权书：法定代表人参与磋商时需提供法定代表人身份证明书；被授权人参与磋商时需提供法定代表人身份证明书以及法定代表人授权书。</w:t>
      </w:r>
    </w:p>
    <w:p>
      <w:pPr>
        <w:pStyle w:val="null3"/>
      </w:pPr>
      <w:r>
        <w:rPr>
          <w:rFonts w:ascii="仿宋_GB2312" w:hAnsi="仿宋_GB2312" w:cs="仿宋_GB2312" w:eastAsia="仿宋_GB2312"/>
        </w:rPr>
        <w:t>2、磋商保证金交纳凭证：磋商保证金缴纳凭证。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4、无控股、管理承诺：单位负责人为同一人或者存在直接控股、管理关系的不同供应商，不得参加同一合同项下的政府采购活动。（格式自拟，加盖供应商公章）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0913-2930560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1.按照《国家发展改革委关于进一步放开建设项目专业服务价格的通知》（发改价格﹝2015﹞299号）的要求，参照原国家计委关于《招标代理服务收费管理暂行办法》（计价格〔2002〕1980号）以及国家发改价格〔2011〕534号文件规定中代理费计算方式计取。 2.暂定价：17400元。最终结算价：中标价100万以内（含100万）以本项目中标价*1.5%计取，中标价超过100万以（100万*1.5%）+（中标价-100万）*0.8%计取。 3.代理服务费在招标工作完成后由甲方一次性付清。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渭南市住房和城乡建设局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1.质量标准：成果文件及配套服务达到国家及行业验收合格标准。 2.本项目由采购人及相关部门定期对项目进行阶段性验收。 3.验收标准：按磋商文件、响应文件及澄清函、项目检查情况等综合指标进行验收。各项指标均应符合验收标准及要求。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联系人：李绒</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为全力推进渭南市海绵城市规划设计、建设管理等工作，完善渭南市本地化的海绵城市技术标准体系，实施编制渭南海绵城市地方技术导则指南项目。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编制渭南海绵城市地方技术导则指南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标的名称：编制渭南海绵城市地方技术导则指南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2"/>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项目内容为编制渭南市海绵城市建设指南，编制对象包括建筑与小区、城市道路和公园绿地等，涵盖海绵城市设计、施工和验收、运维等过程。具体内容包括：</w:t>
            </w:r>
          </w:p>
          <w:p>
            <w:pPr>
              <w:pStyle w:val="null3"/>
            </w:pPr>
            <w:r>
              <w:rPr>
                <w:rFonts w:ascii="仿宋_GB2312" w:hAnsi="仿宋_GB2312" w:cs="仿宋_GB2312" w:eastAsia="仿宋_GB2312"/>
              </w:rPr>
              <w:t>1.编制渭南市《海绵城市设施质量控制与验收规范》</w:t>
            </w:r>
          </w:p>
          <w:p>
            <w:pPr>
              <w:pStyle w:val="null3"/>
            </w:pPr>
            <w:r>
              <w:rPr>
                <w:rFonts w:ascii="仿宋_GB2312" w:hAnsi="仿宋_GB2312" w:cs="仿宋_GB2312" w:eastAsia="仿宋_GB2312"/>
              </w:rPr>
              <w:t>编制一套符合渭南市本地实际情况的海绵城市设施质量控制与验收规范。进一步深化、细化国家相关规范和技术指南的要求，充分融入渭南市本土实际情况，有效贯彻落实系统化全域推进海绵城市示范建设目标，推动渭南市海绵城市科学建设，指导行业主管部门、施工单位、监理单位、海绵城市运营维护单位等开展海绵城市建设工作。制定详细的海绵城市设施质量控制和验收标准，推动海绵城市建设项目设施施工工艺、材料选择、过程控制等均符合工程建设要求，助力提升单个项目及整个城市的海绵城市建设工程质量。提供明确清晰的标准化监管依据，便于对海绵城市建设项目的全程进行监督和管理。推动各项工程按规范实施，促进海绵城市建设的规范化和精细化管理。</w:t>
            </w:r>
          </w:p>
          <w:p>
            <w:pPr>
              <w:pStyle w:val="null3"/>
            </w:pPr>
            <w:r>
              <w:rPr>
                <w:rFonts w:ascii="仿宋_GB2312" w:hAnsi="仿宋_GB2312" w:cs="仿宋_GB2312" w:eastAsia="仿宋_GB2312"/>
              </w:rPr>
              <w:t>2.编制渭南市《建筑与小区海绵城市建设技术指南》</w:t>
            </w:r>
          </w:p>
          <w:p>
            <w:pPr>
              <w:pStyle w:val="null3"/>
            </w:pPr>
            <w:r>
              <w:rPr>
                <w:rFonts w:ascii="仿宋_GB2312" w:hAnsi="仿宋_GB2312" w:cs="仿宋_GB2312" w:eastAsia="仿宋_GB2312"/>
              </w:rPr>
              <w:t>编制一套适用于建筑小区海绵城市建设的技术指南，实现从源头设施、单体建筑到小区单元的完整雨水系统构建。为建筑与小区系统设计、标准施工、科学维护、效果评估提供全生命周期技术指引。明确建筑与小区雨水径流控制率、面源污染削减率、雨水回用率等核心指标要求及设计要点，提出海绵城市建设与建筑设计与景观布局有机融合措施。</w:t>
            </w:r>
          </w:p>
          <w:p>
            <w:pPr>
              <w:pStyle w:val="null3"/>
            </w:pPr>
            <w:r>
              <w:rPr>
                <w:rFonts w:ascii="仿宋_GB2312" w:hAnsi="仿宋_GB2312" w:cs="仿宋_GB2312" w:eastAsia="仿宋_GB2312"/>
              </w:rPr>
              <w:t>3.编制渭南市《城市道路海绵城市建设技术指南》</w:t>
            </w:r>
          </w:p>
          <w:p>
            <w:pPr>
              <w:pStyle w:val="null3"/>
            </w:pPr>
            <w:r>
              <w:rPr>
                <w:rFonts w:ascii="仿宋_GB2312" w:hAnsi="仿宋_GB2312" w:cs="仿宋_GB2312" w:eastAsia="仿宋_GB2312"/>
              </w:rPr>
              <w:t>为城市道路海绵城市建设提供全面、系统、科学的技术指导，规范建设流程和质量标准，提高建设的科学性和规范性。紧密结合渭南市的气候特点、地质条件和城市道路建设现状，制定更具针对性和可操作性的技术指南。针对渭南市现有道路布局、断面形式、空间尺度等实际情况，提出市政道路海绵城市系统设计与施工要点，推动其在满足海绵功能的同时，具备足够的承载能力和使用寿命，提出湿陷性等不良地质下地基处理方法和海绵设施防渗漏规避风险措施。</w:t>
            </w:r>
          </w:p>
          <w:p>
            <w:pPr>
              <w:pStyle w:val="null3"/>
            </w:pPr>
            <w:r>
              <w:rPr>
                <w:rFonts w:ascii="仿宋_GB2312" w:hAnsi="仿宋_GB2312" w:cs="仿宋_GB2312" w:eastAsia="仿宋_GB2312"/>
              </w:rPr>
              <w:t>4.编制渭南市《公园绿地海绵城市建设技术指南》</w:t>
            </w:r>
          </w:p>
          <w:p>
            <w:pPr>
              <w:pStyle w:val="null3"/>
            </w:pPr>
            <w:r>
              <w:rPr>
                <w:rFonts w:ascii="仿宋_GB2312" w:hAnsi="仿宋_GB2312" w:cs="仿宋_GB2312" w:eastAsia="仿宋_GB2312"/>
              </w:rPr>
              <w:t>为公园绿地海绵城市建设提供全方位的技术指导，紧密结合本市的地理气候特点、公园绿地的功能需求和建设现状，充分借鉴省内外先进经验，从系统设计、施工建设、验收维护等全流程制定详细且具有针对性的技术指标和操作规范。在雨水调蓄设施的设计方面，依据本市的降雨强度和频率，明确具体的容积计算方法，给出客水汇入量、过水暗涵等相关计算及要求；在植物选择方面，优先推荐适合本市生长的耐旱、耐涝且具有净化功能的本地植物品种，给出植物组合模式。为本市公园绿地海绵城市建设提供更精准、更具操作性的指导。</w:t>
            </w:r>
          </w:p>
          <w:p>
            <w:pPr>
              <w:pStyle w:val="null3"/>
            </w:pPr>
            <w:r>
              <w:rPr>
                <w:rFonts w:ascii="仿宋_GB2312" w:hAnsi="仿宋_GB2312" w:cs="仿宋_GB2312" w:eastAsia="仿宋_GB2312"/>
              </w:rPr>
              <w:t>二、服务具体要求</w:t>
            </w:r>
          </w:p>
          <w:p>
            <w:pPr>
              <w:pStyle w:val="null3"/>
            </w:pPr>
            <w:r>
              <w:rPr>
                <w:rFonts w:ascii="仿宋_GB2312" w:hAnsi="仿宋_GB2312" w:cs="仿宋_GB2312" w:eastAsia="仿宋_GB2312"/>
              </w:rPr>
              <w:t xml:space="preserve">1.服务要求 </w:t>
            </w:r>
          </w:p>
          <w:p>
            <w:pPr>
              <w:pStyle w:val="null3"/>
            </w:pPr>
            <w:r>
              <w:rPr>
                <w:rFonts w:ascii="仿宋_GB2312" w:hAnsi="仿宋_GB2312" w:cs="仿宋_GB2312" w:eastAsia="仿宋_GB2312"/>
              </w:rPr>
              <w:t>（1）在服务范围内按工作内容和要求制定详细的方案，方案科学、合理、可靠。</w:t>
            </w:r>
          </w:p>
          <w:p>
            <w:pPr>
              <w:pStyle w:val="null3"/>
            </w:pPr>
            <w:r>
              <w:rPr>
                <w:rFonts w:ascii="仿宋_GB2312" w:hAnsi="仿宋_GB2312" w:cs="仿宋_GB2312" w:eastAsia="仿宋_GB2312"/>
              </w:rPr>
              <w:t>（2）人员配备合理。有针对本项目的专项服务小组，项目负责人、工作人员分工明确（应有具体成员名单，包括姓名、工作职责等）</w:t>
            </w:r>
          </w:p>
          <w:p>
            <w:pPr>
              <w:pStyle w:val="null3"/>
            </w:pPr>
            <w:r>
              <w:rPr>
                <w:rFonts w:ascii="仿宋_GB2312" w:hAnsi="仿宋_GB2312" w:cs="仿宋_GB2312" w:eastAsia="仿宋_GB2312"/>
              </w:rPr>
              <w:t>（3）有各类突发事件的应急预案和措施，有明确具体的承诺。</w:t>
            </w:r>
          </w:p>
          <w:p>
            <w:pPr>
              <w:pStyle w:val="null3"/>
            </w:pPr>
            <w:r>
              <w:rPr>
                <w:rFonts w:ascii="仿宋_GB2312" w:hAnsi="仿宋_GB2312" w:cs="仿宋_GB2312" w:eastAsia="仿宋_GB2312"/>
              </w:rPr>
              <w:t>（4）供应商所拟派的工作人员，若在服务期间发生任何伤害，采购人概不负责，由供应商自行处理。</w:t>
            </w:r>
          </w:p>
          <w:p>
            <w:pPr>
              <w:pStyle w:val="null3"/>
            </w:pPr>
            <w:r>
              <w:rPr>
                <w:rFonts w:ascii="仿宋_GB2312" w:hAnsi="仿宋_GB2312" w:cs="仿宋_GB2312" w:eastAsia="仿宋_GB2312"/>
              </w:rPr>
              <w:t>（5）成交供应商向采购人提交服务过程性资料，按相关要求执行。</w:t>
            </w:r>
          </w:p>
          <w:p>
            <w:pPr>
              <w:pStyle w:val="null3"/>
            </w:pPr>
            <w:r>
              <w:rPr>
                <w:rFonts w:ascii="仿宋_GB2312" w:hAnsi="仿宋_GB2312" w:cs="仿宋_GB2312" w:eastAsia="仿宋_GB2312"/>
              </w:rPr>
              <w:t>（6）成果文件必须通过专家评审。</w:t>
            </w:r>
          </w:p>
          <w:p>
            <w:pPr>
              <w:pStyle w:val="null3"/>
            </w:pPr>
            <w:r>
              <w:rPr>
                <w:rFonts w:ascii="仿宋_GB2312" w:hAnsi="仿宋_GB2312" w:cs="仿宋_GB2312" w:eastAsia="仿宋_GB2312"/>
              </w:rPr>
              <w:t>2.服务质量</w:t>
            </w:r>
          </w:p>
          <w:p>
            <w:pPr>
              <w:pStyle w:val="null3"/>
            </w:pPr>
            <w:r>
              <w:rPr>
                <w:rFonts w:ascii="仿宋_GB2312" w:hAnsi="仿宋_GB2312" w:cs="仿宋_GB2312" w:eastAsia="仿宋_GB2312"/>
              </w:rPr>
              <w:t>（1）符合国家相关行业规范、规程和有关技术规定；</w:t>
            </w:r>
          </w:p>
          <w:p>
            <w:pPr>
              <w:pStyle w:val="null3"/>
            </w:pPr>
            <w:r>
              <w:rPr>
                <w:rFonts w:ascii="仿宋_GB2312" w:hAnsi="仿宋_GB2312" w:cs="仿宋_GB2312" w:eastAsia="仿宋_GB2312"/>
              </w:rPr>
              <w:t>（2）成果文件及质量满足相关部门的规定。</w:t>
            </w:r>
          </w:p>
          <w:p>
            <w:pPr>
              <w:pStyle w:val="null3"/>
            </w:pPr>
            <w:r>
              <w:rPr>
                <w:rFonts w:ascii="仿宋_GB2312" w:hAnsi="仿宋_GB2312" w:cs="仿宋_GB2312" w:eastAsia="仿宋_GB2312"/>
              </w:rPr>
              <w:t>3.成果形式</w:t>
            </w:r>
          </w:p>
          <w:p>
            <w:pPr>
              <w:pStyle w:val="null3"/>
            </w:pPr>
            <w:r>
              <w:rPr>
                <w:rFonts w:ascii="仿宋_GB2312" w:hAnsi="仿宋_GB2312" w:cs="仿宋_GB2312" w:eastAsia="仿宋_GB2312"/>
              </w:rPr>
              <w:t>内 容：《海绵城市设施质量控制与验收规范》、《建筑与小区海绵城市建设技术指南》、《城市道路海绵城市建设技术指南》、《公园绿地海绵城市建设技术指南》；</w:t>
            </w:r>
          </w:p>
          <w:p>
            <w:pPr>
              <w:pStyle w:val="null3"/>
            </w:pPr>
            <w:r>
              <w:rPr>
                <w:rFonts w:ascii="仿宋_GB2312" w:hAnsi="仿宋_GB2312" w:cs="仿宋_GB2312" w:eastAsia="仿宋_GB2312"/>
              </w:rPr>
              <w:t>形 式：纸质版各4份，电子版各1份。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人员配备合理，有针对本项目的专项服务小组，项目负责人、工作人员分工明确（应有具体成员名单，包括姓名、工作职责等）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价款包括：包括完成本项目所需的全部费用，包括但不限于项目调研费、现场踏勘费、环境现状检测费、人工费、材料费、交通费、住宿费、管理费、专家咨询费、税金、利润、磋商文件明示及暗示所有风险等所有费用，服务期内采购人不再增加任何费用。 （2）供应商应按照规定完成项目全部实施内容且达到合格标准。 （3）供应商接受项目行业管理部门及政府有关部门的指导，接受采购人的监督。</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1.质量标准：成果文件及配套服务达到国家及行业验收合格标准。 2.乙方完成相关服务工作、出具服务成果正式文件及要求提供的其他相关资料后，进行履约验收。 3.验收标准：按磋商文件、响应文件及澄清函、项目检查情况等综合指标进行验收。各项指标均应符合验收标准及要求。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根据项目完成进度支付。合同签订后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最终成果经采购人及相关部门验收合格并印发实施后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的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2.根据《政府采购法实施条例》释义，银行、保险、石油石化、电力、电信等有行业特殊情况的，允许法人的分支机构参加政府采购活动。 3.根据关于印发中小企业划型标准规定的通知 （工信部联企业〔2011〕300号）中小企业划型标准规定：（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 ②税收缴纳证明：提供响应文件递交截止时间前一年内任意一个月的缴费凭据；依法免税的应提供相关文件证明； ③社会保障资金缴纳证明：提供响应文件递交截止时间前一年内任意一个月的社保缴费凭据或社保机构开具的社会保险参保缴费情况证明；依法不需要缴纳社会保障资金的供应商应提供相关文件证明；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①②③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提供具有履行本合同所必需的设备和专业技术能力的说明或承诺；（格式自拟，加盖供应商公章）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提供参加政府采购活动前三年内在经营活动中无重大违法记录的书面声明；（格式自拟，加盖供应商公章）</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法定代表人参与磋商时需提供法定代表人身份证明书；被授权人参与磋商时需提供法定代表人身份证明书以及法定代表人授权书。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磋商保证金缴纳凭证。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单位负责人为同一人或者存在直接控股、管理关系的不同供应商，不得参加同一合同项下的政府采购活动。（格式自拟，加盖供应商公章）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服务内容及服务邀请应答表 供应商其它资料.docx 中小企业声明函 商务应答表 报价表 供应商承诺书.docx 响应文件封面 分项报价表.docx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供应商名称应与营业执照等证件相一致</w:t>
            </w:r>
          </w:p>
        </w:tc>
        <w:tc>
          <w:tcPr>
            <w:tcW w:type="dxa" w:w="1661"/>
          </w:tcPr>
          <w:p>
            <w:pPr>
              <w:pStyle w:val="null3"/>
            </w:pPr>
            <w:r>
              <w:rPr>
                <w:rFonts w:ascii="仿宋_GB2312" w:hAnsi="仿宋_GB2312" w:cs="仿宋_GB2312" w:eastAsia="仿宋_GB2312"/>
              </w:rPr>
              <w:t>服务内容及服务邀请应答表 供应商其它资料.docx 中小企业声明函 商务应答表 报价表 供应商承诺书.docx 响应文件封面 分项报价表.docx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服务期满足磋商文件规定</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对服务内容响应程度</w:t>
            </w:r>
          </w:p>
        </w:tc>
        <w:tc>
          <w:tcPr>
            <w:tcW w:type="dxa" w:w="3322"/>
          </w:tcPr>
          <w:p>
            <w:pPr>
              <w:pStyle w:val="null3"/>
            </w:pPr>
            <w:r>
              <w:rPr>
                <w:rFonts w:ascii="仿宋_GB2312" w:hAnsi="仿宋_GB2312" w:cs="仿宋_GB2312" w:eastAsia="仿宋_GB2312"/>
              </w:rPr>
              <w:t>满足磋商文件实质性服务技术及商务要求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无其他做无效磋商处理的情况</w:t>
            </w:r>
          </w:p>
        </w:tc>
        <w:tc>
          <w:tcPr>
            <w:tcW w:type="dxa" w:w="1661"/>
          </w:tcPr>
          <w:p>
            <w:pPr>
              <w:pStyle w:val="null3"/>
            </w:pPr>
            <w:r>
              <w:rPr>
                <w:rFonts w:ascii="仿宋_GB2312" w:hAnsi="仿宋_GB2312" w:cs="仿宋_GB2312" w:eastAsia="仿宋_GB2312"/>
              </w:rPr>
              <w:t>服务内容及服务邀请应答表 供应商其它资料.docx 中小企业声明函 商务应答表 报价表 供应商承诺书.docx 响应文件封面 分项报价表.docx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（一）评审内容：①项目需求理解；②重点难点分析；③项目目标；④工作技术路线及方法； （二）评审标准： （1）每项评审内容完整无缺陷得5分；未提供得0分； （2）每项评审内容每存在一处缺陷扣1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（一）评审内容：①质量保障体系；②质量管控要求；③质量保障措施； （二）评审标准： （1）每项评审内容完整无缺陷得5分；未提供得0分； （2）每项评审内容每存在一处缺陷扣1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（一）评审内容：①进度安排计划；②进度保障措施；③应急措施； （二）评审标准： （1）每项评审内容完整无缺陷得5分；未提供得0分； （2）每项评审内容每存在一处缺陷扣1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（一）评审内容：①后续服务内容；②后续服务方案；③响应时间。 （二）评审标准： （1）每项评审内容完整无缺陷得4分；未提供得0分； （2）每项评审内容每存在一处缺陷扣1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1.项目组成人员（除项目负责人）分工明确、责任明确，结构合理，每增加一名有利于项目实施的人员得1分，最高得6分。 2.项目组成人员中，每有1名相关专业中级职称人员得0.5分,每有1名相关专业副高级及以上职称人员得1分；本项最高得6分。 注：提供人员证明材料复印件，加盖单位鲜章，否则不得分。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供应商近年（2022年1月1日至今）具有类似项目业绩，每提供1个业绩得1分，本项最高得4分。（业绩证明文件包括合同等证明资料，提供复印件加盖单位公章，时间以合同签订时间或相关证明资料落款时间为准。）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满足竞争性磋商文件要求且磋商价格最低的最终磋商报价为磋商基准价，得满分20分； (3) 磋商报价得分=(磋商基准价／最终磋商报价)×20%×100。 备注：当磋商小组认为某个供应商的报价明显低于其他通过符合性审</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详见附件：供应商其它资料.docx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