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版本号：ZCSP-渭南市-2025-0092820251225001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渭南市中心城区基础设施项目技术服务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ZCSP-渭南市-2025-00928</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渭南市中心城区基础设施项目技术服务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渭南市中心城区基础设施项目技术服务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对渭南市中心城区的基础设施项目进行策划包装，包括但不限于项目的前期构思、方案设计以及可行性分析等环节；深入进行基础调研，涵盖市场分析、需求评估以及现有设施状况的详细调查。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采购包1（渭南市中心城区基础设施项目技术服务）：属于专门面向中小企业采购。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及法人身份证明书（附法定代表人及被授权人身份证复印件）</w:t>
      </w:r>
    </w:p>
    <w:p>
      <w:pPr>
        <w:pStyle w:val="null3"/>
      </w:pPr>
      <w:r>
        <w:rPr>
          <w:rFonts w:ascii="仿宋_GB2312" w:hAnsi="仿宋_GB2312" w:cs="仿宋_GB2312" w:eastAsia="仿宋_GB2312"/>
        </w:rPr>
        <w:t>2、项目负责人：拟派项目负责人须具备相关专业中级及以上职称</w:t>
      </w:r>
    </w:p>
    <w:p>
      <w:pPr>
        <w:pStyle w:val="null3"/>
      </w:pPr>
      <w:r>
        <w:rPr>
          <w:rFonts w:ascii="仿宋_GB2312" w:hAnsi="仿宋_GB2312" w:cs="仿宋_GB2312" w:eastAsia="仿宋_GB2312"/>
        </w:rPr>
        <w:t>3、磋商保证金：磋商保证金交纳凭证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5、无管控承诺：单位负责人为同一人或者存在直接控股、管理关系的不同供应商，不得参加同一合同项下的政府采购活动。（格式自拟，加盖供应商公章）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符合国家及地方现行标准及相关规范，满足采购要求。成果文件及配套服务达到国家及行业验收合格标准。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对渭南市中心城区的基础设施项目进行策划包装，包括但不限于项目的前期构思、方案设计以及可行性分析等环节；深入进行基础调研，涵盖市场分析、需求评估以及现有设施状况的详细调查。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渭南市中心城区基础设施项目技术服务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标的名称：渭南市中心城区基础设施项目技术服务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为全力推进中心城区基础设施项目建设，提供项目前期策划咨询、基础调研分析等技术服务工作。</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对渭南市中心城区的基础设施项目进行策划包装，包括但不限于项目的前期构思、方案设计以及可行性分析等环节；深入进行基础调研，涵盖市场分析、需求评估以及现有设施状况的详细调查。</w:t>
            </w:r>
          </w:p>
          <w:p>
            <w:pPr>
              <w:pStyle w:val="null3"/>
              <w:ind w:firstLine="482"/>
              <w:jc w:val="both"/>
            </w:pPr>
            <w:r>
              <w:rPr>
                <w:rFonts w:ascii="仿宋_GB2312" w:hAnsi="仿宋_GB2312" w:cs="仿宋_GB2312" w:eastAsia="仿宋_GB2312"/>
                <w:sz w:val="24"/>
                <w:b/>
              </w:rPr>
              <w:t>三、服务具体要求</w:t>
            </w:r>
          </w:p>
          <w:p>
            <w:pPr>
              <w:pStyle w:val="null3"/>
              <w:ind w:firstLine="482"/>
              <w:jc w:val="both"/>
            </w:pPr>
            <w:r>
              <w:rPr>
                <w:rFonts w:ascii="仿宋_GB2312" w:hAnsi="仿宋_GB2312" w:cs="仿宋_GB2312" w:eastAsia="仿宋_GB2312"/>
                <w:sz w:val="24"/>
                <w:b/>
              </w:rPr>
              <w:t>（一）服务技术要求</w:t>
            </w:r>
          </w:p>
          <w:p>
            <w:pPr>
              <w:pStyle w:val="null3"/>
              <w:ind w:firstLine="480"/>
              <w:jc w:val="both"/>
            </w:pPr>
            <w:r>
              <w:rPr>
                <w:rFonts w:ascii="仿宋_GB2312" w:hAnsi="仿宋_GB2312" w:cs="仿宋_GB2312" w:eastAsia="仿宋_GB2312"/>
                <w:sz w:val="24"/>
              </w:rPr>
              <w:t>1.协助完成项目前期策划构思并编制项目计划；</w:t>
            </w:r>
          </w:p>
          <w:p>
            <w:pPr>
              <w:pStyle w:val="null3"/>
              <w:ind w:firstLine="480"/>
              <w:jc w:val="both"/>
            </w:pPr>
            <w:r>
              <w:rPr>
                <w:rFonts w:ascii="仿宋_GB2312" w:hAnsi="仿宋_GB2312" w:cs="仿宋_GB2312" w:eastAsia="仿宋_GB2312"/>
                <w:sz w:val="24"/>
              </w:rPr>
              <w:t>2.完成项目现场调研摸底并编制初步方案；</w:t>
            </w:r>
          </w:p>
          <w:p>
            <w:pPr>
              <w:pStyle w:val="null3"/>
              <w:ind w:firstLine="480"/>
              <w:jc w:val="both"/>
            </w:pPr>
            <w:r>
              <w:rPr>
                <w:rFonts w:ascii="仿宋_GB2312" w:hAnsi="仿宋_GB2312" w:cs="仿宋_GB2312" w:eastAsia="仿宋_GB2312"/>
                <w:sz w:val="24"/>
              </w:rPr>
              <w:t>3.结合城市规划与实际需求，协助完成项目前期可行性研究的研讨工作，为项目立项提供技术依据；</w:t>
            </w:r>
          </w:p>
          <w:p>
            <w:pPr>
              <w:pStyle w:val="null3"/>
              <w:ind w:firstLine="480"/>
              <w:jc w:val="both"/>
            </w:pPr>
            <w:r>
              <w:rPr>
                <w:rFonts w:ascii="仿宋_GB2312" w:hAnsi="仿宋_GB2312" w:cs="仿宋_GB2312" w:eastAsia="仿宋_GB2312"/>
                <w:sz w:val="24"/>
              </w:rPr>
              <w:t>4.协助收集与项目相关的政策性文件、技术标准、历史数据等各类信息；</w:t>
            </w:r>
          </w:p>
          <w:p>
            <w:pPr>
              <w:pStyle w:val="null3"/>
              <w:ind w:firstLine="480"/>
              <w:jc w:val="both"/>
            </w:pPr>
            <w:r>
              <w:rPr>
                <w:rFonts w:ascii="仿宋_GB2312" w:hAnsi="仿宋_GB2312" w:cs="仿宋_GB2312" w:eastAsia="仿宋_GB2312"/>
                <w:sz w:val="24"/>
              </w:rPr>
              <w:t>5.协助提供项目建设全过程技术服务。</w:t>
            </w:r>
          </w:p>
          <w:p>
            <w:pPr>
              <w:pStyle w:val="null3"/>
              <w:ind w:firstLine="482"/>
              <w:jc w:val="both"/>
            </w:pPr>
            <w:r>
              <w:rPr>
                <w:rFonts w:ascii="仿宋_GB2312" w:hAnsi="仿宋_GB2312" w:cs="仿宋_GB2312" w:eastAsia="仿宋_GB2312"/>
                <w:sz w:val="24"/>
                <w:b/>
              </w:rPr>
              <w:t>（二）服务质量标准</w:t>
            </w:r>
          </w:p>
          <w:p>
            <w:pPr>
              <w:pStyle w:val="null3"/>
              <w:ind w:firstLine="480"/>
              <w:jc w:val="both"/>
            </w:pPr>
            <w:r>
              <w:rPr>
                <w:rFonts w:ascii="仿宋_GB2312" w:hAnsi="仿宋_GB2312" w:cs="仿宋_GB2312" w:eastAsia="仿宋_GB2312"/>
                <w:sz w:val="24"/>
              </w:rPr>
              <w:t>严格遵守《渭南市国土空间总体规划》</w:t>
            </w:r>
            <w:r>
              <w:rPr>
                <w:rFonts w:ascii="仿宋_GB2312" w:hAnsi="仿宋_GB2312" w:cs="仿宋_GB2312" w:eastAsia="仿宋_GB2312"/>
                <w:sz w:val="24"/>
              </w:rPr>
              <w:t>(2021-2035)、国家发展改革委《关于印发投资项目可行性研究报告编写大纲及说明的通知》（发改投资规〔2023〕304 号）、《市政公用工程设计文件编制深度规定》(2025年版)、《政府投资条例》（国务院第 712 号令）、《国务院办公厅关于推进海绵城市建设的指导意见》(国办发〔2015〕75号)、国务院《关于加强城市基础设施建设的意见》（国发〔2013〕36号）、国务院《关于深入推进新型城镇化建设的若干意见》（国发〔2016〕8号）、《渭南市海绵城市项目设计文件编制深度要求》(市海绵办试行2022.07）</w:t>
            </w:r>
          </w:p>
          <w:p>
            <w:pPr>
              <w:pStyle w:val="null3"/>
              <w:jc w:val="both"/>
            </w:pPr>
            <w:r>
              <w:rPr>
                <w:rFonts w:ascii="仿宋_GB2312" w:hAnsi="仿宋_GB2312" w:cs="仿宋_GB2312" w:eastAsia="仿宋_GB2312"/>
                <w:sz w:val="24"/>
              </w:rPr>
              <w:t>《建筑与市政工程无障碍通用规范》</w:t>
            </w:r>
            <w:r>
              <w:rPr>
                <w:rFonts w:ascii="仿宋_GB2312" w:hAnsi="仿宋_GB2312" w:cs="仿宋_GB2312" w:eastAsia="仿宋_GB2312"/>
                <w:sz w:val="24"/>
              </w:rPr>
              <w:t>GB55015、《建筑与市政工程抗震通用规范》GB55002、《消防设施通用规范》(GB 55036)、《湿陷性黄土地区建筑标准》（GB 50025）及国家、陕西省相关法律法规、标准规范及本采购需求的要求，确保服务成果的真实性、准确性、完整性和规范性。</w:t>
            </w:r>
          </w:p>
          <w:p>
            <w:pPr>
              <w:pStyle w:val="null3"/>
              <w:ind w:firstLine="482"/>
              <w:jc w:val="both"/>
            </w:pPr>
            <w:r>
              <w:rPr>
                <w:rFonts w:ascii="仿宋_GB2312" w:hAnsi="仿宋_GB2312" w:cs="仿宋_GB2312" w:eastAsia="仿宋_GB2312"/>
                <w:sz w:val="24"/>
                <w:b/>
              </w:rPr>
              <w:t>（三）工作内容要求</w:t>
            </w:r>
          </w:p>
          <w:p>
            <w:pPr>
              <w:pStyle w:val="null3"/>
              <w:ind w:firstLine="480"/>
              <w:jc w:val="both"/>
            </w:pPr>
            <w:r>
              <w:rPr>
                <w:rFonts w:ascii="仿宋_GB2312" w:hAnsi="仿宋_GB2312" w:cs="仿宋_GB2312" w:eastAsia="仿宋_GB2312"/>
                <w:sz w:val="24"/>
              </w:rPr>
              <w:t>1.项目前期策划包装：涵盖项目构思、建设内容界定、技术方案选型、实施计划制定、投资估算初步分析等。</w:t>
            </w:r>
          </w:p>
          <w:p>
            <w:pPr>
              <w:pStyle w:val="null3"/>
              <w:ind w:firstLine="480"/>
              <w:jc w:val="both"/>
            </w:pPr>
            <w:r>
              <w:rPr>
                <w:rFonts w:ascii="仿宋_GB2312" w:hAnsi="仿宋_GB2312" w:cs="仿宋_GB2312" w:eastAsia="仿宋_GB2312"/>
                <w:sz w:val="24"/>
              </w:rPr>
              <w:t>2.基础调研分析：包括针对项目进行基础资料调查（位置、规模、建设年代、运行状况、存在问题等）、技术标准调研等。</w:t>
            </w:r>
          </w:p>
          <w:p>
            <w:pPr>
              <w:pStyle w:val="null3"/>
              <w:ind w:firstLine="480"/>
              <w:jc w:val="both"/>
            </w:pPr>
            <w:r>
              <w:rPr>
                <w:rFonts w:ascii="仿宋_GB2312" w:hAnsi="仿宋_GB2312" w:cs="仿宋_GB2312" w:eastAsia="仿宋_GB2312"/>
                <w:sz w:val="24"/>
              </w:rPr>
              <w:t>3.可行性研究支撑：协助开展项目可行性分析，包括技术可行性、经济可行性、社会可行性、环境可行性等方面的研讨，提供专业技术意见。</w:t>
            </w:r>
          </w:p>
          <w:p>
            <w:pPr>
              <w:pStyle w:val="null3"/>
              <w:ind w:firstLine="480"/>
              <w:jc w:val="both"/>
            </w:pPr>
            <w:r>
              <w:rPr>
                <w:rFonts w:ascii="仿宋_GB2312" w:hAnsi="仿宋_GB2312" w:cs="仿宋_GB2312" w:eastAsia="仿宋_GB2312"/>
                <w:sz w:val="24"/>
              </w:rPr>
              <w:t>4.信息收集与整理：系统收集项目相关的政策性文件、技术标准，进行分类整理。</w:t>
            </w:r>
          </w:p>
          <w:p>
            <w:pPr>
              <w:pStyle w:val="null3"/>
              <w:ind w:firstLine="480"/>
              <w:jc w:val="both"/>
            </w:pPr>
            <w:r>
              <w:rPr>
                <w:rFonts w:ascii="仿宋_GB2312" w:hAnsi="仿宋_GB2312" w:cs="仿宋_GB2312" w:eastAsia="仿宋_GB2312"/>
                <w:sz w:val="24"/>
              </w:rPr>
              <w:t>5.全过程技术服务：在项目前期各阶段，提供技术咨询、方案优化、问题解决、部门对接协助等持续性技术支持。</w:t>
            </w:r>
          </w:p>
          <w:p>
            <w:pPr>
              <w:pStyle w:val="null3"/>
              <w:ind w:firstLine="482"/>
              <w:jc w:val="both"/>
            </w:pPr>
            <w:r>
              <w:rPr>
                <w:rFonts w:ascii="仿宋_GB2312" w:hAnsi="仿宋_GB2312" w:cs="仿宋_GB2312" w:eastAsia="仿宋_GB2312"/>
                <w:sz w:val="24"/>
                <w:b/>
              </w:rPr>
              <w:t>（四）编制工作技术要求</w:t>
            </w:r>
          </w:p>
          <w:p>
            <w:pPr>
              <w:pStyle w:val="null3"/>
              <w:ind w:firstLine="482"/>
              <w:jc w:val="both"/>
            </w:pPr>
            <w:r>
              <w:rPr>
                <w:rFonts w:ascii="仿宋_GB2312" w:hAnsi="仿宋_GB2312" w:cs="仿宋_GB2312" w:eastAsia="仿宋_GB2312"/>
                <w:sz w:val="24"/>
                <w:b/>
              </w:rPr>
              <w:t xml:space="preserve"> </w:t>
            </w:r>
            <w:r>
              <w:rPr>
                <w:rFonts w:ascii="仿宋_GB2312" w:hAnsi="仿宋_GB2312" w:cs="仿宋_GB2312" w:eastAsia="仿宋_GB2312"/>
                <w:sz w:val="24"/>
                <w:b/>
              </w:rPr>
              <w:t>1、项目前期策划与计划编制</w:t>
            </w:r>
          </w:p>
          <w:p>
            <w:pPr>
              <w:pStyle w:val="null3"/>
              <w:ind w:firstLine="480"/>
              <w:jc w:val="both"/>
            </w:pPr>
            <w:r>
              <w:rPr>
                <w:rFonts w:ascii="仿宋_GB2312" w:hAnsi="仿宋_GB2312" w:cs="仿宋_GB2312" w:eastAsia="仿宋_GB2312"/>
                <w:sz w:val="24"/>
              </w:rPr>
              <w:t>组织专业团队深入研究渭南市城市发展需求，结合基础设施短板，提出项目策划方案。</w:t>
            </w:r>
          </w:p>
          <w:p>
            <w:pPr>
              <w:pStyle w:val="null3"/>
              <w:ind w:firstLine="480"/>
              <w:jc w:val="both"/>
            </w:pPr>
            <w:r>
              <w:rPr>
                <w:rFonts w:ascii="仿宋_GB2312" w:hAnsi="仿宋_GB2312" w:cs="仿宋_GB2312" w:eastAsia="仿宋_GB2312"/>
                <w:sz w:val="24"/>
              </w:rPr>
              <w:t>方案需包含项目建设目标、建设内容、建设规模、技术路线、实施时序、投资估算框架、预期效益等核心内容。</w:t>
            </w:r>
          </w:p>
          <w:p>
            <w:pPr>
              <w:pStyle w:val="null3"/>
              <w:ind w:firstLine="480"/>
              <w:jc w:val="both"/>
            </w:pPr>
            <w:r>
              <w:rPr>
                <w:rFonts w:ascii="仿宋_GB2312" w:hAnsi="仿宋_GB2312" w:cs="仿宋_GB2312" w:eastAsia="仿宋_GB2312"/>
                <w:sz w:val="24"/>
              </w:rPr>
              <w:t>协助采购</w:t>
            </w:r>
            <w:r>
              <w:rPr>
                <w:rFonts w:ascii="仿宋_GB2312" w:hAnsi="仿宋_GB2312" w:cs="仿宋_GB2312" w:eastAsia="仿宋_GB2312"/>
                <w:sz w:val="24"/>
              </w:rPr>
              <w:t>人</w:t>
            </w:r>
            <w:r>
              <w:rPr>
                <w:rFonts w:ascii="仿宋_GB2312" w:hAnsi="仿宋_GB2312" w:cs="仿宋_GB2312" w:eastAsia="仿宋_GB2312"/>
                <w:sz w:val="24"/>
              </w:rPr>
              <w:t>编制详细的项目实施计划，明确各阶段工作任务、责任主体、时间节点及交付成果。</w:t>
            </w:r>
          </w:p>
          <w:p>
            <w:pPr>
              <w:pStyle w:val="null3"/>
              <w:ind w:firstLine="482"/>
              <w:jc w:val="both"/>
            </w:pPr>
            <w:r>
              <w:rPr>
                <w:rFonts w:ascii="仿宋_GB2312" w:hAnsi="仿宋_GB2312" w:cs="仿宋_GB2312" w:eastAsia="仿宋_GB2312"/>
                <w:sz w:val="24"/>
                <w:b/>
              </w:rPr>
              <w:t>2、现场调研与初步方案编制</w:t>
            </w:r>
          </w:p>
          <w:p>
            <w:pPr>
              <w:pStyle w:val="null3"/>
              <w:ind w:firstLine="480"/>
              <w:jc w:val="both"/>
            </w:pPr>
            <w:r>
              <w:rPr>
                <w:rFonts w:ascii="仿宋_GB2312" w:hAnsi="仿宋_GB2312" w:cs="仿宋_GB2312" w:eastAsia="仿宋_GB2312"/>
                <w:sz w:val="24"/>
              </w:rPr>
              <w:t>开展全面的现场踏勘</w:t>
            </w:r>
            <w:r>
              <w:rPr>
                <w:rFonts w:ascii="仿宋_GB2312" w:hAnsi="仿宋_GB2312" w:cs="仿宋_GB2312" w:eastAsia="仿宋_GB2312"/>
                <w:sz w:val="24"/>
              </w:rPr>
              <w:t>调研</w:t>
            </w:r>
            <w:r>
              <w:rPr>
                <w:rFonts w:ascii="仿宋_GB2312" w:hAnsi="仿宋_GB2312" w:cs="仿宋_GB2312" w:eastAsia="仿宋_GB2312"/>
                <w:sz w:val="24"/>
              </w:rPr>
              <w:t>，对现有基础设施进行逐一排查，记录详细数据（包括位置、尺寸、材质、运行状况、病害情况等），拍摄现场照片和视频资料。</w:t>
            </w:r>
          </w:p>
          <w:p>
            <w:pPr>
              <w:pStyle w:val="null3"/>
              <w:ind w:firstLine="480"/>
              <w:jc w:val="both"/>
            </w:pPr>
            <w:r>
              <w:rPr>
                <w:rFonts w:ascii="仿宋_GB2312" w:hAnsi="仿宋_GB2312" w:cs="仿宋_GB2312" w:eastAsia="仿宋_GB2312"/>
                <w:sz w:val="24"/>
              </w:rPr>
              <w:t>完成调研数据的整理、分析与评估，编制项目初步方案，明确项目建设的具体技术参数、建设标准及实施路径。</w:t>
            </w:r>
          </w:p>
          <w:p>
            <w:pPr>
              <w:pStyle w:val="null3"/>
              <w:ind w:firstLine="482"/>
              <w:jc w:val="both"/>
            </w:pPr>
            <w:r>
              <w:rPr>
                <w:rFonts w:ascii="仿宋_GB2312" w:hAnsi="仿宋_GB2312" w:cs="仿宋_GB2312" w:eastAsia="仿宋_GB2312"/>
                <w:sz w:val="24"/>
                <w:b/>
              </w:rPr>
              <w:t>3、可行性研究研讨协助</w:t>
            </w:r>
          </w:p>
          <w:p>
            <w:pPr>
              <w:pStyle w:val="null3"/>
              <w:ind w:firstLine="480"/>
              <w:jc w:val="both"/>
            </w:pPr>
            <w:r>
              <w:rPr>
                <w:rFonts w:ascii="仿宋_GB2312" w:hAnsi="仿宋_GB2312" w:cs="仿宋_GB2312" w:eastAsia="仿宋_GB2312"/>
                <w:sz w:val="24"/>
              </w:rPr>
              <w:t>收集整理可行性研究所需的各类基础资料，包括地形地貌、水文气象、政策文件等。协助组织可行性研究研讨会，</w:t>
            </w:r>
            <w:r>
              <w:rPr>
                <w:rFonts w:ascii="仿宋_GB2312" w:hAnsi="仿宋_GB2312" w:cs="仿宋_GB2312" w:eastAsia="仿宋_GB2312"/>
                <w:sz w:val="24"/>
              </w:rPr>
              <w:t>邀请院内</w:t>
            </w:r>
            <w:r>
              <w:rPr>
                <w:rFonts w:ascii="仿宋_GB2312" w:hAnsi="仿宋_GB2312" w:cs="仿宋_GB2312" w:eastAsia="仿宋_GB2312"/>
                <w:sz w:val="24"/>
              </w:rPr>
              <w:t>专家</w:t>
            </w:r>
            <w:r>
              <w:rPr>
                <w:rFonts w:ascii="仿宋_GB2312" w:hAnsi="仿宋_GB2312" w:cs="仿宋_GB2312" w:eastAsia="仿宋_GB2312"/>
                <w:sz w:val="24"/>
              </w:rPr>
              <w:t>，</w:t>
            </w:r>
            <w:r>
              <w:rPr>
                <w:rFonts w:ascii="仿宋_GB2312" w:hAnsi="仿宋_GB2312" w:cs="仿宋_GB2312" w:eastAsia="仿宋_GB2312"/>
                <w:sz w:val="24"/>
              </w:rPr>
              <w:t>提供专业技术支持，</w:t>
            </w:r>
            <w:r>
              <w:rPr>
                <w:rFonts w:ascii="仿宋_GB2312" w:hAnsi="仿宋_GB2312" w:cs="仿宋_GB2312" w:eastAsia="仿宋_GB2312"/>
                <w:sz w:val="24"/>
              </w:rPr>
              <w:t>形成书面意见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根据研讨意见，对项目可行性进行深入分析，为项目立项提供坚实的技术依据。</w:t>
            </w:r>
          </w:p>
          <w:p>
            <w:pPr>
              <w:pStyle w:val="null3"/>
              <w:ind w:firstLine="482"/>
              <w:jc w:val="both"/>
            </w:pPr>
            <w:r>
              <w:rPr>
                <w:rFonts w:ascii="仿宋_GB2312" w:hAnsi="仿宋_GB2312" w:cs="仿宋_GB2312" w:eastAsia="仿宋_GB2312"/>
                <w:sz w:val="24"/>
                <w:b/>
              </w:rPr>
              <w:t>4、相关信息收集与整理</w:t>
            </w:r>
          </w:p>
          <w:p>
            <w:pPr>
              <w:pStyle w:val="null3"/>
              <w:ind w:firstLine="480"/>
              <w:jc w:val="both"/>
            </w:pPr>
            <w:r>
              <w:rPr>
                <w:rFonts w:ascii="仿宋_GB2312" w:hAnsi="仿宋_GB2312" w:cs="仿宋_GB2312" w:eastAsia="仿宋_GB2312"/>
                <w:sz w:val="24"/>
              </w:rPr>
              <w:t>收集政策性</w:t>
            </w:r>
            <w:r>
              <w:rPr>
                <w:rFonts w:ascii="仿宋_GB2312" w:hAnsi="仿宋_GB2312" w:cs="仿宋_GB2312" w:eastAsia="仿宋_GB2312"/>
                <w:sz w:val="24"/>
              </w:rPr>
              <w:t>相关文件，包含</w:t>
            </w:r>
            <w:r>
              <w:rPr>
                <w:rFonts w:ascii="仿宋_GB2312" w:hAnsi="仿宋_GB2312" w:cs="仿宋_GB2312" w:eastAsia="仿宋_GB2312"/>
                <w:sz w:val="24"/>
              </w:rPr>
              <w:t>国家、陕西省</w:t>
            </w:r>
            <w:r>
              <w:rPr>
                <w:rFonts w:ascii="仿宋_GB2312" w:hAnsi="仿宋_GB2312" w:cs="仿宋_GB2312" w:eastAsia="仿宋_GB2312"/>
                <w:sz w:val="24"/>
              </w:rPr>
              <w:t>等</w:t>
            </w:r>
            <w:r>
              <w:rPr>
                <w:rFonts w:ascii="仿宋_GB2312" w:hAnsi="仿宋_GB2312" w:cs="仿宋_GB2312" w:eastAsia="仿宋_GB2312"/>
                <w:sz w:val="24"/>
              </w:rPr>
              <w:t>政策、法规、标准等。</w:t>
            </w:r>
          </w:p>
          <w:p>
            <w:pPr>
              <w:pStyle w:val="null3"/>
              <w:ind w:firstLine="482"/>
              <w:jc w:val="both"/>
            </w:pPr>
            <w:r>
              <w:rPr>
                <w:rFonts w:ascii="仿宋_GB2312" w:hAnsi="仿宋_GB2312" w:cs="仿宋_GB2312" w:eastAsia="仿宋_GB2312"/>
                <w:sz w:val="24"/>
                <w:b/>
              </w:rPr>
              <w:t>5、全过程技术服务</w:t>
            </w:r>
          </w:p>
          <w:p>
            <w:pPr>
              <w:pStyle w:val="null3"/>
              <w:ind w:firstLine="480"/>
              <w:jc w:val="both"/>
            </w:pPr>
            <w:r>
              <w:rPr>
                <w:rFonts w:ascii="仿宋_GB2312" w:hAnsi="仿宋_GB2312" w:cs="仿宋_GB2312" w:eastAsia="仿宋_GB2312"/>
                <w:sz w:val="24"/>
              </w:rPr>
              <w:t>针对项目前期存在的技术问题，协助完成与各部门的对接工作，提供专业的技术指导意见。</w:t>
            </w:r>
          </w:p>
          <w:p>
            <w:pPr>
              <w:pStyle w:val="null3"/>
              <w:jc w:val="both"/>
              <w:outlineLvl w:val="3"/>
            </w:pPr>
            <w:r>
              <w:rPr>
                <w:rFonts w:ascii="仿宋_GB2312" w:hAnsi="仿宋_GB2312" w:cs="仿宋_GB2312" w:eastAsia="仿宋_GB2312"/>
                <w:sz w:val="24"/>
                <w:b/>
              </w:rPr>
              <w:t>四、成果要求</w:t>
            </w:r>
          </w:p>
          <w:p>
            <w:pPr>
              <w:pStyle w:val="null3"/>
              <w:jc w:val="both"/>
              <w:outlineLvl w:val="3"/>
            </w:pPr>
            <w:r>
              <w:rPr>
                <w:rFonts w:ascii="仿宋_GB2312" w:hAnsi="仿宋_GB2312" w:cs="仿宋_GB2312" w:eastAsia="仿宋_GB2312"/>
                <w:sz w:val="24"/>
                <w:b/>
              </w:rPr>
              <w:t>所有成果需提供纸质版和电子版，纸质版一式</w:t>
            </w:r>
            <w:r>
              <w:rPr>
                <w:rFonts w:ascii="仿宋_GB2312" w:hAnsi="仿宋_GB2312" w:cs="仿宋_GB2312" w:eastAsia="仿宋_GB2312"/>
                <w:sz w:val="24"/>
                <w:b/>
              </w:rPr>
              <w:t>6份（正本2份，副本4份），电子版采用PDF格式（报告、图件）及原始格式（模型、表格等）存储于U盘或光盘，一式2份。</w:t>
            </w:r>
          </w:p>
          <w:p>
            <w:pPr>
              <w:pStyle w:val="null3"/>
              <w:jc w:val="both"/>
              <w:outlineLvl w:val="3"/>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1.严格按照本采购需求规定的关键节点完成各项服务工作，不得擅自拖延服务期；若因特殊情况需调整工期，需提前7个工作日向采购人提交书面申请，经采购人同意后方可调整。</w:t>
            </w:r>
          </w:p>
          <w:p>
            <w:pPr>
              <w:pStyle w:val="null3"/>
              <w:ind w:firstLine="480"/>
              <w:jc w:val="both"/>
            </w:pPr>
            <w:r>
              <w:rPr>
                <w:rFonts w:ascii="仿宋_GB2312" w:hAnsi="仿宋_GB2312" w:cs="仿宋_GB2312" w:eastAsia="仿宋_GB2312"/>
                <w:sz w:val="24"/>
              </w:rPr>
              <w:t>2.建立高效的沟通协调机制，指定专人作为项目负责人，负责与采购人的日常沟通对接，及时响应采购人的需求，反馈项目进展情况。</w:t>
            </w:r>
          </w:p>
          <w:p>
            <w:pPr>
              <w:pStyle w:val="null3"/>
              <w:ind w:firstLine="480"/>
              <w:jc w:val="both"/>
            </w:pPr>
            <w:r>
              <w:rPr>
                <w:rFonts w:ascii="仿宋_GB2312" w:hAnsi="仿宋_GB2312" w:cs="仿宋_GB2312" w:eastAsia="仿宋_GB2312"/>
                <w:sz w:val="24"/>
              </w:rPr>
              <w:t>3.对采购人提出的紧急需求，需在 24 小时内启动响应机制，组织力量解决问题。</w:t>
            </w:r>
          </w:p>
          <w:p>
            <w:pPr>
              <w:pStyle w:val="null3"/>
              <w:ind w:firstLine="482"/>
              <w:jc w:val="both"/>
            </w:pPr>
            <w:r>
              <w:rPr>
                <w:rFonts w:ascii="仿宋_GB2312" w:hAnsi="仿宋_GB2312" w:cs="仿宋_GB2312" w:eastAsia="仿宋_GB2312"/>
                <w:sz w:val="24"/>
                <w:b/>
              </w:rPr>
              <w:t>六、验收</w:t>
            </w:r>
          </w:p>
          <w:p>
            <w:pPr>
              <w:pStyle w:val="null3"/>
              <w:ind w:firstLine="482"/>
              <w:jc w:val="both"/>
            </w:pPr>
            <w:r>
              <w:rPr>
                <w:rFonts w:ascii="仿宋_GB2312" w:hAnsi="仿宋_GB2312" w:cs="仿宋_GB2312" w:eastAsia="仿宋_GB2312"/>
                <w:sz w:val="24"/>
                <w:b/>
              </w:rPr>
              <w:t>1.项目验收</w:t>
            </w:r>
          </w:p>
          <w:p>
            <w:pPr>
              <w:pStyle w:val="null3"/>
              <w:ind w:firstLine="480"/>
              <w:jc w:val="both"/>
            </w:pPr>
            <w:r>
              <w:rPr>
                <w:rFonts w:ascii="仿宋_GB2312" w:hAnsi="仿宋_GB2312" w:cs="仿宋_GB2312" w:eastAsia="仿宋_GB2312"/>
                <w:sz w:val="24"/>
              </w:rPr>
              <w:t>供应商完成相关服务工作、出具服务成果正式文件及要求提供的其他相关资料后，进行履约验收。</w:t>
            </w:r>
          </w:p>
          <w:p>
            <w:pPr>
              <w:pStyle w:val="null3"/>
              <w:ind w:firstLine="482"/>
              <w:jc w:val="both"/>
            </w:pPr>
            <w:r>
              <w:rPr>
                <w:rFonts w:ascii="仿宋_GB2312" w:hAnsi="仿宋_GB2312" w:cs="仿宋_GB2312" w:eastAsia="仿宋_GB2312"/>
                <w:sz w:val="24"/>
                <w:b/>
              </w:rPr>
              <w:t>2.验收依据</w:t>
            </w:r>
          </w:p>
          <w:p>
            <w:pPr>
              <w:pStyle w:val="null3"/>
              <w:ind w:firstLine="480"/>
              <w:jc w:val="both"/>
            </w:pPr>
            <w:r>
              <w:rPr>
                <w:rFonts w:ascii="仿宋_GB2312" w:hAnsi="仿宋_GB2312" w:cs="仿宋_GB2312" w:eastAsia="仿宋_GB2312"/>
                <w:sz w:val="24"/>
              </w:rPr>
              <w:t>2.2.1合同文本及合同补充文件（条款）；</w:t>
            </w:r>
          </w:p>
          <w:p>
            <w:pPr>
              <w:pStyle w:val="null3"/>
              <w:ind w:firstLine="480"/>
              <w:jc w:val="both"/>
            </w:pPr>
            <w:r>
              <w:rPr>
                <w:rFonts w:ascii="仿宋_GB2312" w:hAnsi="仿宋_GB2312" w:cs="仿宋_GB2312" w:eastAsia="仿宋_GB2312"/>
                <w:sz w:val="24"/>
              </w:rPr>
              <w:t>2.2.2服务的证明文件、佐证材料；</w:t>
            </w:r>
          </w:p>
          <w:p>
            <w:pPr>
              <w:pStyle w:val="null3"/>
              <w:ind w:firstLine="480"/>
              <w:jc w:val="both"/>
            </w:pPr>
            <w:r>
              <w:rPr>
                <w:rFonts w:ascii="仿宋_GB2312" w:hAnsi="仿宋_GB2312" w:cs="仿宋_GB2312" w:eastAsia="仿宋_GB2312"/>
                <w:sz w:val="24"/>
              </w:rPr>
              <w:t>2.2.3采购文件；</w:t>
            </w:r>
          </w:p>
          <w:p>
            <w:pPr>
              <w:pStyle w:val="null3"/>
              <w:ind w:firstLine="480"/>
              <w:jc w:val="both"/>
            </w:pPr>
            <w:r>
              <w:rPr>
                <w:rFonts w:ascii="仿宋_GB2312" w:hAnsi="仿宋_GB2312" w:cs="仿宋_GB2312" w:eastAsia="仿宋_GB2312"/>
                <w:sz w:val="24"/>
              </w:rPr>
              <w:t>2.2.4供应商的响应文件；</w:t>
            </w:r>
          </w:p>
          <w:p>
            <w:pPr>
              <w:pStyle w:val="null3"/>
              <w:ind w:firstLine="480"/>
              <w:jc w:val="both"/>
            </w:pPr>
            <w:r>
              <w:rPr>
                <w:rFonts w:ascii="仿宋_GB2312" w:hAnsi="仿宋_GB2312" w:cs="仿宋_GB2312" w:eastAsia="仿宋_GB2312"/>
                <w:sz w:val="24"/>
              </w:rPr>
              <w:t>2.2.5服务内容。</w:t>
            </w:r>
          </w:p>
          <w:p>
            <w:pPr>
              <w:pStyle w:val="null3"/>
              <w:ind w:firstLine="482"/>
              <w:jc w:val="both"/>
            </w:pPr>
            <w:r>
              <w:rPr>
                <w:rFonts w:ascii="仿宋_GB2312" w:hAnsi="仿宋_GB2312" w:cs="仿宋_GB2312" w:eastAsia="仿宋_GB2312"/>
                <w:sz w:val="24"/>
                <w:b/>
              </w:rPr>
              <w:t>3、验收流程</w:t>
            </w:r>
          </w:p>
          <w:p>
            <w:pPr>
              <w:pStyle w:val="null3"/>
              <w:ind w:firstLine="480"/>
              <w:jc w:val="both"/>
            </w:pPr>
            <w:r>
              <w:rPr>
                <w:rFonts w:ascii="仿宋_GB2312" w:hAnsi="仿宋_GB2312" w:cs="仿宋_GB2312" w:eastAsia="仿宋_GB2312"/>
                <w:sz w:val="24"/>
              </w:rPr>
              <w:t>成果提交：供应商完成全部服务成果后，向采购人提交验收申请报告，同时附上完整的服务成果及相关资料（纸质版和电子版）。</w:t>
            </w:r>
          </w:p>
          <w:p>
            <w:pPr>
              <w:pStyle w:val="null3"/>
              <w:ind w:firstLine="480"/>
              <w:jc w:val="both"/>
            </w:pPr>
            <w:r>
              <w:rPr>
                <w:rFonts w:ascii="仿宋_GB2312" w:hAnsi="仿宋_GB2312" w:cs="仿宋_GB2312" w:eastAsia="仿宋_GB2312"/>
                <w:sz w:val="24"/>
              </w:rPr>
              <w:t>资料审核：采购人在收到验收申请后，对供应商提交的资料进行审核，若资料不完整或不符合要求，通知供应商在</w:t>
            </w:r>
            <w:r>
              <w:rPr>
                <w:rFonts w:ascii="仿宋_GB2312" w:hAnsi="仿宋_GB2312" w:cs="仿宋_GB2312" w:eastAsia="仿宋_GB2312"/>
                <w:sz w:val="24"/>
              </w:rPr>
              <w:t>5个工作日内补充完善。</w:t>
            </w:r>
          </w:p>
          <w:p>
            <w:pPr>
              <w:pStyle w:val="null3"/>
              <w:ind w:firstLine="480"/>
              <w:jc w:val="both"/>
            </w:pPr>
            <w:r>
              <w:rPr>
                <w:rFonts w:ascii="仿宋_GB2312" w:hAnsi="仿宋_GB2312" w:cs="仿宋_GB2312" w:eastAsia="仿宋_GB2312"/>
                <w:sz w:val="24"/>
              </w:rPr>
              <w:t>现场核查与成果评审：对服务成果进行现场核查和评审，听取供应商的成果汇报，提出验收意见。</w:t>
            </w:r>
          </w:p>
          <w:p>
            <w:pPr>
              <w:pStyle w:val="null3"/>
              <w:ind w:firstLine="480"/>
              <w:jc w:val="both"/>
            </w:pPr>
            <w:r>
              <w:rPr>
                <w:rFonts w:ascii="仿宋_GB2312" w:hAnsi="仿宋_GB2312" w:cs="仿宋_GB2312" w:eastAsia="仿宋_GB2312"/>
                <w:sz w:val="24"/>
              </w:rPr>
              <w:t>验收结论：验收小组根据资料审核、现场核查及成果评审情况，形成验收结论。验收合格的，出具验收报告；验收不合格的，明确整改要求和期限，供应商需在规定期限内完成整改并重新申请验收。</w:t>
            </w:r>
          </w:p>
          <w:p>
            <w:pPr>
              <w:pStyle w:val="null3"/>
              <w:ind w:firstLine="480"/>
              <w:jc w:val="both"/>
            </w:pPr>
            <w:r>
              <w:rPr>
                <w:rFonts w:ascii="仿宋_GB2312" w:hAnsi="仿宋_GB2312" w:cs="仿宋_GB2312" w:eastAsia="仿宋_GB2312"/>
                <w:sz w:val="24"/>
              </w:rPr>
              <w:t>最终验收：供应商完成整改后，重新提交验收申请，采购人再次组织验收，直至验收合格。若供应商未在规定期限内完成整改或整改后仍不合格，采购人有权拒绝支付剩余款项，并追究供应商的违约责任。</w:t>
            </w:r>
          </w:p>
          <w:p>
            <w:pPr>
              <w:pStyle w:val="null3"/>
              <w:ind w:firstLine="482"/>
              <w:jc w:val="both"/>
            </w:pPr>
            <w:r>
              <w:rPr>
                <w:rFonts w:ascii="仿宋_GB2312" w:hAnsi="仿宋_GB2312" w:cs="仿宋_GB2312" w:eastAsia="仿宋_GB2312"/>
                <w:sz w:val="24"/>
                <w:b/>
              </w:rPr>
              <w:t>4、验收标准</w:t>
            </w:r>
          </w:p>
          <w:p>
            <w:pPr>
              <w:pStyle w:val="null3"/>
              <w:jc w:val="both"/>
              <w:outlineLvl w:val="3"/>
            </w:pPr>
            <w:r>
              <w:rPr>
                <w:rFonts w:ascii="仿宋_GB2312" w:hAnsi="仿宋_GB2312" w:cs="仿宋_GB2312" w:eastAsia="仿宋_GB2312"/>
                <w:sz w:val="24"/>
                <w:b/>
              </w:rPr>
              <w:t>符合国家及地方现行标准及相关规范，满足采购要求。成果文件及配套服务达到国家及行业验收合格标准。</w:t>
            </w:r>
          </w:p>
          <w:p>
            <w:pPr>
              <w:pStyle w:val="null3"/>
            </w:pPr>
            <w:r>
              <w:rPr>
                <w:rFonts w:ascii="仿宋_GB2312" w:hAnsi="仿宋_GB2312" w:cs="仿宋_GB2312" w:eastAsia="仿宋_GB2312"/>
                <w:sz w:val="24"/>
              </w:rPr>
              <w:t>说明：以上内容不得负偏离，否则按无效</w:t>
            </w:r>
            <w:r>
              <w:rPr>
                <w:rFonts w:ascii="仿宋_GB2312" w:hAnsi="仿宋_GB2312" w:cs="仿宋_GB2312" w:eastAsia="仿宋_GB2312"/>
                <w:sz w:val="24"/>
              </w:rPr>
              <w:t>磋商</w:t>
            </w:r>
            <w:r>
              <w:rPr>
                <w:rFonts w:ascii="仿宋_GB2312" w:hAnsi="仿宋_GB2312" w:cs="仿宋_GB2312" w:eastAsia="仿宋_GB2312"/>
                <w:sz w:val="24"/>
              </w:rPr>
              <w:t>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项目人员配备分工明确、责任明确，结构合理，满足项目实施要求。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1.合同包括：包括本次项目所需的人工费、服务费、管理费、税金等所有费用，政策性文件规定的各项应有费用各项管理费用。 2.供应商应按照规定完成项目全部实施内容且达到合格标准。 3.供应商接受项目行业管理部门及政府有关部门的指导，接受采购人的监督。 4.供应商所拟派的工作人员，若在服务期间发生任何安全事故由供应商承担。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（1）供应商完成相关服务工作、出具服务成果正式文件及要求提供的其他相关资料后，进行履约验收。 （2）服务质量达到国家相关法律法规要求、磋商文件、磋商响应文件及采购人要求。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最终成果通过采购人验收合格后支付合同总价款（含税）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法定代表人参与磋商时需提供法定代表人身份证明书（附法定代表人身份证复印件）；被授权人参与磋商时需提供法定代表人授权委托书及法人身份证明书（附法定代表人及被授权人身份证复印件）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拟派项目负责人须具备相关专业中级及以上职称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无管控承诺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单位负责人为同一人或者存在直接控股、管理关系的不同供应商，不得参加同一合同项下的政府采购活动。（格式自拟，加盖供应商公章）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供应商承诺书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无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 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无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 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项目组其他人员岗位明确、责任明确，结构合理，每配备一个人员得1分，最高得6分。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人员配备中（除项目负责人），每具有一个相关专业高级及以上职称的人员，得2分；每具有一个中级职称的人员得1分；本项最高得5分。 注：提供人员证明材料复印件，加盖单位公章，否则不得分。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供应商具有近三年（2022年9月至今）的类似业绩（合同扫描件并加盖供应商公章，以合同签订时间为准）每个计1分，最多得3分；未提供不得分。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满足磋商文件要求且最后磋商报价最低的磋商报价为评审基准价，其价格分为满分。其他供应商的价格分统一按照下列公式计算： 磋商报价得分=(评审基准价／磋商报价)×20%×100。 备注：当磋商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