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版本号：ZCSP-渭南市-2025-0092520260204002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渭南市中心城区城市地下管网管廊及设施建设改造实施方案编制项目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ZCSP-渭南市-2025-00925</w:t>
      </w:r>
      <w:r>
        <w:br/>
      </w:r>
      <w:r>
        <w:br/>
      </w:r>
      <w:r>
        <w:br/>
      </w:r>
    </w:p>
    <w:p>
      <w:pPr>
        <w:pStyle w:val="null3"/>
        <w:jc w:val="center"/>
        <w:outlineLvl w:val="2"/>
      </w:pPr>
      <w:r>
        <w:rPr>
          <w:rFonts w:ascii="仿宋_GB2312" w:hAnsi="仿宋_GB2312" w:cs="仿宋_GB2312" w:eastAsia="仿宋_GB2312"/>
          <w:sz w:val="28"/>
          <w:b/>
        </w:rPr>
        <w:t>渭南市住房和城乡建设局</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渭南市住房和城乡建设局</w:t>
      </w:r>
      <w:r>
        <w:rPr>
          <w:rFonts w:ascii="仿宋_GB2312" w:hAnsi="仿宋_GB2312" w:cs="仿宋_GB2312" w:eastAsia="仿宋_GB2312"/>
        </w:rPr>
        <w:t>委托，拟对</w:t>
      </w:r>
      <w:r>
        <w:rPr>
          <w:rFonts w:ascii="仿宋_GB2312" w:hAnsi="仿宋_GB2312" w:cs="仿宋_GB2312" w:eastAsia="仿宋_GB2312"/>
        </w:rPr>
        <w:t>渭南市中心城区城市地下管网管廊及设施建设改造实施方案编制项目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ZCSP-渭南市-2025-00925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渭南市中心城区城市地下管网管廊及设施建设改造实施方案编制项目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编制临渭区、华州区、高新区的城市地下管网管廊及设施建设改造实施方案，包含供水、排水、污水、燃气、供热等地下管线，形成项目库，提出管理措施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1、法定代表人身份证明书/法定代表人授权委托书：法定代表人参与磋商时需提供法定代表人身份证明书；被授权人参与磋商时需提供法定代表人 身份证明书及法定代表人授权委托书；</w:t>
      </w:r>
    </w:p>
    <w:p>
      <w:pPr>
        <w:pStyle w:val="null3"/>
      </w:pPr>
      <w:r>
        <w:rPr>
          <w:rFonts w:ascii="仿宋_GB2312" w:hAnsi="仿宋_GB2312" w:cs="仿宋_GB2312" w:eastAsia="仿宋_GB2312"/>
        </w:rPr>
        <w:t>2、磋商保证金交纳凭证：磋商保证金交纳凭证；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4、企业资质：供应商具备在有效期内且由国家行政主管部门颁发的城乡规划编制甲级资质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0913-2930560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任佩华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按照《国家发展改革委关于进一步放开建设项目专业服务价格的通知》（发改价格﹝2015﹞299号）的要求，参照原国家计委关于《招标代理服务收费管理暂行办法》（计价格〔2002〕1980号）以及国家发改价格〔2011〕534号文件规定中代理费计算方式计取。 2.暂定价：22200.00元。最终结算价：中标价100万以内（含100万）以本项目中标价*1.5%计取，中标价超过100万以（100万*1.5%）+（中标价-100万）*0.8%计取。 3.代理服务费在招标工作完成后由甲方一次性付清。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渭南市住房和城乡建设局</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联系人：任佩华</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编制临渭区、华州区、高新区的城市地下管网管廊及设施建设改造实施方案，包含供水、排水、污水、燃气、供热等地下管线，形成项目库，提出管理措施。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渭南市中心城区城市地下管网管廊及设施建设改造实施方案编制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标的名称：渭南市中心城区城市地下管网管廊及设施建设改造实施方案编制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32"/>
                <w:b/>
              </w:rPr>
              <w:t>1</w:t>
            </w:r>
            <w:r>
              <w:rPr>
                <w:rFonts w:ascii="仿宋_GB2312" w:hAnsi="仿宋_GB2312" w:cs="仿宋_GB2312" w:eastAsia="仿宋_GB2312"/>
                <w:sz w:val="32"/>
                <w:b/>
              </w:rPr>
              <w:t>、</w:t>
            </w:r>
            <w:r>
              <w:rPr>
                <w:rFonts w:ascii="仿宋_GB2312" w:hAnsi="仿宋_GB2312" w:cs="仿宋_GB2312" w:eastAsia="仿宋_GB2312"/>
                <w:sz w:val="32"/>
                <w:b/>
              </w:rPr>
              <w:t>项目概况</w:t>
            </w:r>
          </w:p>
          <w:p>
            <w:pPr>
              <w:pStyle w:val="null3"/>
              <w:ind w:firstLine="640"/>
              <w:jc w:val="left"/>
            </w:pPr>
            <w:r>
              <w:rPr>
                <w:rFonts w:ascii="仿宋_GB2312" w:hAnsi="仿宋_GB2312" w:cs="仿宋_GB2312" w:eastAsia="仿宋_GB2312"/>
                <w:sz w:val="32"/>
              </w:rPr>
              <w:t>编制临渭区、华州区、高新区的城市地下管网管廊及设施建设改造实施方案，包含供水、排水、污水、燃气、供热等地下管线，形成项目库，提出管理措施</w:t>
            </w:r>
            <w:r>
              <w:rPr>
                <w:rFonts w:ascii="仿宋_GB2312" w:hAnsi="仿宋_GB2312" w:cs="仿宋_GB2312" w:eastAsia="仿宋_GB2312"/>
                <w:sz w:val="32"/>
              </w:rPr>
              <w:t>。</w:t>
            </w:r>
          </w:p>
          <w:p>
            <w:pPr>
              <w:pStyle w:val="null3"/>
              <w:ind w:firstLine="643"/>
              <w:jc w:val="left"/>
            </w:pPr>
            <w:r>
              <w:rPr>
                <w:rFonts w:ascii="仿宋_GB2312" w:hAnsi="仿宋_GB2312" w:cs="仿宋_GB2312" w:eastAsia="仿宋_GB2312"/>
                <w:sz w:val="32"/>
                <w:b/>
              </w:rPr>
              <w:t>2、</w:t>
            </w:r>
            <w:r>
              <w:rPr>
                <w:rFonts w:ascii="仿宋_GB2312" w:hAnsi="仿宋_GB2312" w:cs="仿宋_GB2312" w:eastAsia="仿宋_GB2312"/>
                <w:sz w:val="32"/>
                <w:b/>
              </w:rPr>
              <w:t>服务</w:t>
            </w:r>
            <w:r>
              <w:rPr>
                <w:rFonts w:ascii="仿宋_GB2312" w:hAnsi="仿宋_GB2312" w:cs="仿宋_GB2312" w:eastAsia="仿宋_GB2312"/>
                <w:sz w:val="32"/>
                <w:b/>
              </w:rPr>
              <w:t>内容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管网管廊</w:t>
            </w:r>
            <w:r>
              <w:rPr>
                <w:rFonts w:ascii="仿宋_GB2312" w:hAnsi="仿宋_GB2312" w:cs="仿宋_GB2312" w:eastAsia="仿宋_GB2312"/>
                <w:sz w:val="32"/>
              </w:rPr>
              <w:t>现状分析：梳理分析</w:t>
            </w:r>
            <w:r>
              <w:rPr>
                <w:rFonts w:ascii="仿宋_GB2312" w:hAnsi="仿宋_GB2312" w:cs="仿宋_GB2312" w:eastAsia="仿宋_GB2312"/>
                <w:sz w:val="32"/>
              </w:rPr>
              <w:t>供水、排水、污水、燃气、供热等地下管线</w:t>
            </w:r>
            <w:r>
              <w:rPr>
                <w:rFonts w:ascii="仿宋_GB2312" w:hAnsi="仿宋_GB2312" w:cs="仿宋_GB2312" w:eastAsia="仿宋_GB2312"/>
                <w:sz w:val="32"/>
              </w:rPr>
              <w:t>情况，总结存在问题及风险隐患。</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制定更新改造总体策略：明确</w:t>
            </w:r>
            <w:r>
              <w:rPr>
                <w:rFonts w:ascii="仿宋_GB2312" w:hAnsi="仿宋_GB2312" w:cs="仿宋_GB2312" w:eastAsia="仿宋_GB2312"/>
                <w:sz w:val="32"/>
              </w:rPr>
              <w:t>管网管廊</w:t>
            </w:r>
            <w:r>
              <w:rPr>
                <w:rFonts w:ascii="仿宋_GB2312" w:hAnsi="仿宋_GB2312" w:cs="仿宋_GB2312" w:eastAsia="仿宋_GB2312"/>
                <w:sz w:val="32"/>
              </w:rPr>
              <w:t>更新改造对象范围，合理确定更新改造标准，本着安全性、合理性、可实施性的原则制定总体更新改造策略。</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提出系统改造方案：明确各类老化管网及主要附属设施改造措施，并根据各地市区域特征、现状情况及隐患重点和强度，指导城市更新改造规划的制定。</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分期建设规划：提出分期建设计划，编制项目任务清单及投资估算。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管控保障措施：基于部门行政管辖范畴和基本职责，对全</w:t>
            </w:r>
            <w:r>
              <w:rPr>
                <w:rFonts w:ascii="仿宋_GB2312" w:hAnsi="仿宋_GB2312" w:cs="仿宋_GB2312" w:eastAsia="仿宋_GB2312"/>
                <w:sz w:val="32"/>
              </w:rPr>
              <w:t>市</w:t>
            </w:r>
            <w:r>
              <w:rPr>
                <w:rFonts w:ascii="仿宋_GB2312" w:hAnsi="仿宋_GB2312" w:cs="仿宋_GB2312" w:eastAsia="仿宋_GB2312"/>
                <w:sz w:val="32"/>
              </w:rPr>
              <w:t>城市老化管网改造的规划、设计、建设、运维、管理的全过程提出管控要求，以增强改造的管控实施可操作性。</w:t>
            </w:r>
          </w:p>
          <w:p>
            <w:pPr>
              <w:pStyle w:val="null3"/>
              <w:ind w:firstLine="640"/>
              <w:jc w:val="both"/>
            </w:pPr>
            <w:r>
              <w:rPr>
                <w:rFonts w:ascii="仿宋_GB2312" w:hAnsi="仿宋_GB2312" w:cs="仿宋_GB2312" w:eastAsia="仿宋_GB2312"/>
                <w:sz w:val="32"/>
                <w:b/>
              </w:rPr>
              <w:t>3、</w:t>
            </w:r>
            <w:r>
              <w:rPr>
                <w:rFonts w:ascii="仿宋_GB2312" w:hAnsi="仿宋_GB2312" w:cs="仿宋_GB2312" w:eastAsia="仿宋_GB2312"/>
                <w:sz w:val="32"/>
                <w:b/>
              </w:rPr>
              <w:t>服务要求</w:t>
            </w:r>
            <w:r>
              <w:rPr>
                <w:rFonts w:ascii="仿宋_GB2312" w:hAnsi="仿宋_GB2312" w:cs="仿宋_GB2312" w:eastAsia="仿宋_GB2312"/>
                <w:sz w:val="21"/>
                <w:b/>
              </w:rPr>
              <w:t xml:space="preserve"> </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满足方案</w:t>
            </w:r>
            <w:r>
              <w:rPr>
                <w:rFonts w:ascii="仿宋_GB2312" w:hAnsi="仿宋_GB2312" w:cs="仿宋_GB2312" w:eastAsia="仿宋_GB2312"/>
                <w:sz w:val="32"/>
              </w:rPr>
              <w:t>编制要求</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在服务范围内按工作内容和要求制定详细的方案，方案科学、合理、可靠。</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人员配备合理。有针对本项目的专项服务小组，项目负责人、工作人员分工明确（应有具体成员名单，包括姓名、工作职责等）</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有各类突发事件的应急预案和措施，有明确具体的承诺。</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）供应商所拟派的工作人员，若在服务期间发生任何伤害，采购人概不负责，由供应商自行处理。</w:t>
            </w:r>
          </w:p>
          <w:p>
            <w:pPr>
              <w:pStyle w:val="null3"/>
              <w:ind w:firstLine="964"/>
              <w:jc w:val="both"/>
            </w:pPr>
            <w:r>
              <w:rPr>
                <w:rFonts w:ascii="仿宋_GB2312" w:hAnsi="仿宋_GB2312" w:cs="仿宋_GB2312" w:eastAsia="仿宋_GB2312"/>
                <w:sz w:val="32"/>
                <w:b/>
              </w:rPr>
              <w:t>4、</w:t>
            </w:r>
            <w:r>
              <w:rPr>
                <w:rFonts w:ascii="仿宋_GB2312" w:hAnsi="仿宋_GB2312" w:cs="仿宋_GB2312" w:eastAsia="仿宋_GB2312"/>
                <w:sz w:val="32"/>
                <w:b/>
              </w:rPr>
              <w:t>服务质量</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符合国家相关</w:t>
            </w:r>
            <w:r>
              <w:rPr>
                <w:rFonts w:ascii="仿宋_GB2312" w:hAnsi="仿宋_GB2312" w:cs="仿宋_GB2312" w:eastAsia="仿宋_GB2312"/>
                <w:sz w:val="32"/>
              </w:rPr>
              <w:t>行业</w:t>
            </w:r>
            <w:r>
              <w:rPr>
                <w:rFonts w:ascii="仿宋_GB2312" w:hAnsi="仿宋_GB2312" w:cs="仿宋_GB2312" w:eastAsia="仿宋_GB2312"/>
                <w:sz w:val="32"/>
              </w:rPr>
              <w:t>规范、规程和有关技术规定</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2）成果文件</w:t>
            </w:r>
            <w:r>
              <w:rPr>
                <w:rFonts w:ascii="仿宋_GB2312" w:hAnsi="仿宋_GB2312" w:cs="仿宋_GB2312" w:eastAsia="仿宋_GB2312"/>
                <w:sz w:val="32"/>
              </w:rPr>
              <w:t>及质量满足</w:t>
            </w:r>
            <w:r>
              <w:rPr>
                <w:rFonts w:ascii="仿宋_GB2312" w:hAnsi="仿宋_GB2312" w:cs="仿宋_GB2312" w:eastAsia="仿宋_GB2312"/>
                <w:sz w:val="32"/>
              </w:rPr>
              <w:t>相关部门</w:t>
            </w:r>
            <w:r>
              <w:rPr>
                <w:rFonts w:ascii="仿宋_GB2312" w:hAnsi="仿宋_GB2312" w:cs="仿宋_GB2312" w:eastAsia="仿宋_GB2312"/>
                <w:sz w:val="32"/>
              </w:rPr>
              <w:t>的规定。</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b/>
              </w:rPr>
              <w:t>成果形式</w:t>
            </w:r>
          </w:p>
          <w:p>
            <w:pPr>
              <w:pStyle w:val="null3"/>
              <w:ind w:firstLine="640"/>
              <w:jc w:val="both"/>
            </w:pPr>
            <w:r>
              <w:rPr>
                <w:rFonts w:ascii="仿宋_GB2312" w:hAnsi="仿宋_GB2312" w:cs="仿宋_GB2312" w:eastAsia="仿宋_GB2312"/>
                <w:sz w:val="32"/>
              </w:rPr>
              <w:t>内</w:t>
            </w:r>
            <w:r>
              <w:rPr>
                <w:rFonts w:ascii="仿宋_GB2312" w:hAnsi="仿宋_GB2312" w:cs="仿宋_GB2312" w:eastAsia="仿宋_GB2312"/>
                <w:sz w:val="32"/>
              </w:rPr>
              <w:t>容：</w:t>
            </w:r>
            <w:r>
              <w:rPr>
                <w:rFonts w:ascii="仿宋_GB2312" w:hAnsi="仿宋_GB2312" w:cs="仿宋_GB2312" w:eastAsia="仿宋_GB2312"/>
                <w:sz w:val="32"/>
              </w:rPr>
              <w:t>《渭南市中心城区城市地下管网管廊及设施建设改造实施方案报告》</w:t>
            </w:r>
          </w:p>
          <w:p>
            <w:pPr>
              <w:pStyle w:val="null3"/>
              <w:ind w:firstLine="640"/>
              <w:jc w:val="both"/>
            </w:pPr>
            <w:r>
              <w:rPr>
                <w:rFonts w:ascii="仿宋_GB2312" w:hAnsi="仿宋_GB2312" w:cs="仿宋_GB2312" w:eastAsia="仿宋_GB2312"/>
                <w:sz w:val="32"/>
              </w:rPr>
              <w:t>形</w:t>
            </w:r>
            <w:r>
              <w:rPr>
                <w:rFonts w:ascii="仿宋_GB2312" w:hAnsi="仿宋_GB2312" w:cs="仿宋_GB2312" w:eastAsia="仿宋_GB2312"/>
                <w:sz w:val="32"/>
              </w:rPr>
              <w:t>式：纸质版</w:t>
            </w:r>
            <w:r>
              <w:rPr>
                <w:rFonts w:ascii="仿宋_GB2312" w:hAnsi="仿宋_GB2312" w:cs="仿宋_GB2312" w:eastAsia="仿宋_GB2312"/>
                <w:sz w:val="32"/>
              </w:rPr>
              <w:t>4份，电子版1份。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项目人员配备合理，岗位职责明确，满足项目实施要求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最终成果通过专家评审及采购人验收合格后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1.合同双方必须遵守本合同并执行合同中的各项规定，保证本合同的正常履行。 2. 如因供应商工作人员在履行职务过程中的的疏忽、失职、过错等故意或者过失原因给采购人造成损失或侵害，包括但不限于采 购人本身的财产损失、由此而导致的采购人对任何第三方的法律责任等，供应商对此均应承担全部的赔偿责任。 3.双方在执 行合同中所发生的一切争议，应通过协商解决。如协商不成，可向采购人所在地法院起诉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2.根据《政府采购法实施条例》释义，银行、保险、石油石化、电力、电信等有行业特殊情况的，允许法人的分支机构参加政府采购活动。 3.根据关于印发中小企业划型标准规定的通知 （工信部联企业〔2011〕300号）中小企业划型标准规定：（十六）其他未列明行业。从业人员300人以下的为中小微型企业。其中，从业人员100人及以上的为中型企业；从业人员10人及以上的为小型企业；从业人员10人以下的为微型企业。4.联合体参加投标的，需满足以下要求：（1）以联合体形式参加政府采购活动的，联合体各方不得再单独参加或者与其他供应商另外组成联合体参加本项目磋商，否则相关响应文件将被认定为响应无效。参加联合体的供应商均应当同时具备政府采购法第二十二条规定的条件。（2）由联合体牵头人网上申请，须出具联合体协议书，联合体成员不得超过3家。（3）联合体各方应签订联合协议，明确约定联合体各方承担的工作和相应的责任，并将联合协议作为响应文件的一部分提交。 5.大中型企业、其他自然人、法人或者非法人组织与小型、微型企业组成联合体共同参加磋商，联合协议中应写明小型、微型企业的协议合同金额占到联合协议合同总金额的比例。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详见附件1），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 身份证明书及法定代表人授权委托书；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供应商具备在有效期内且由国家行政主管部门颁发的城乡规划编制甲级资质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服务内容及服务邀请应答表 供应商其它资料.docx 中小企业声明函 商务应答表 联合体.docx 报价表 响应文件封面 分项报价表.docx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无其他做无效磋商处理的情况</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（一）评审内容：①项目背景分析；②项目基本情况及相关政策解读；③项目前期问题和薄弱环节；④项目重难点分析；⑤项目目标与定位的理解。 （二）评审标准：每一条评审内容无缺陷得6分，满分30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（一）评审内容：①项目质量保障体系；②质量管控要求；③质量控制措施； （二）评审标准：每一条评审内容无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（一）评审内容：①进度保障措施；②各阶段时间节点合理安排措施；③各环节衔接工作的配合措施；④在工作中遇到紧急事件的应急处理能力。 （二）评审标准：每一条评审内容无缺陷得3分，满分12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（一）评审内容：①保密承诺事项；②工作保密措施；③保密工作规则要求。 （二）评审标准：每一条评审内容无缺陷得2分，满分6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（一）评审内容：①项目成果文本完整合规的服务承诺；②保质保量完成的服务承诺；③配合后续事宜的服务承诺。 （二）评审标准：每一条评审内容无缺陷得1分，满分3分；每一条评审内容存在一处缺陷扣0.2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项目团队情况</w:t>
            </w:r>
          </w:p>
        </w:tc>
        <w:tc>
          <w:tcPr>
            <w:tcW w:type="dxa" w:w="2492"/>
          </w:tcPr>
          <w:p>
            <w:pPr>
              <w:pStyle w:val="null3"/>
            </w:pPr>
            <w:r>
              <w:rPr>
                <w:rFonts w:ascii="仿宋_GB2312" w:hAnsi="仿宋_GB2312" w:cs="仿宋_GB2312" w:eastAsia="仿宋_GB2312"/>
              </w:rPr>
              <w:t>1.项目组成员具备规划或给排水或环境或暖通或燃气专业中级职称的，每提供一个人员得0.5分；具备副高级（副教授/副研究员）职称的，每提供一个人员得1分，每个专业具备正高级（教授/研究员）职称的，每提供一个人员得2分，本项最多得10分。 2.项目组成员每具备一个注册公用设备工程师执业资格得1分，本项最多得5分。 （注：提供证书原件彩色扫描件、社会劳动保障部门出具的近半年任意连续三个月在本单位缴纳社会保险缴费证明原件扫描件）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投标人具有近三年（2022年12月至今）的类似业绩（合同扫描件并加盖供应商公章，以合同签订时间为准）每个计1分，最多得5分；未提供不得分。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满足磋商文件要求且最后磋商报价最低的磋商报价为评审基准价，其价格分为满分。其他供应商的价格分统一按照下列公式计算： 磋商报价得分=(评审基准价／磋商报价)×20%×100。 备注：当磋商小组认为某个供应商的报价明显低于其他通过符合性审查供应商的报价，有可能影响服务质量和不能诚信履约的，应要求该供应商在评标现场合理的时间内提供书面说明，必要时提交相关证明材料；供应商不能证明其报价合理的，供应商将其作为无效磋商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详见附件：联合体.docx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