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版本号：ZCSP-渭南市-2025-0093120251226001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渭南市公共就业服务能力提升示范项目信息化建设方案咨询设计服务项目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ZCSP-渭南市-2025-00931</w:t>
      </w:r>
      <w:r>
        <w:br/>
      </w:r>
      <w:r>
        <w:br/>
      </w:r>
      <w:r>
        <w:br/>
      </w:r>
    </w:p>
    <w:p>
      <w:pPr>
        <w:pStyle w:val="null3"/>
        <w:jc w:val="center"/>
        <w:outlineLvl w:val="2"/>
      </w:pPr>
      <w:r>
        <w:rPr>
          <w:rFonts w:ascii="仿宋_GB2312" w:hAnsi="仿宋_GB2312" w:cs="仿宋_GB2312" w:eastAsia="仿宋_GB2312"/>
          <w:sz w:val="28"/>
          <w:b/>
        </w:rPr>
        <w:t>渭南市人力资源和社会保障局</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渭南市人力资源和社会保障局</w:t>
      </w:r>
      <w:r>
        <w:rPr>
          <w:rFonts w:ascii="仿宋_GB2312" w:hAnsi="仿宋_GB2312" w:cs="仿宋_GB2312" w:eastAsia="仿宋_GB2312"/>
        </w:rPr>
        <w:t>委托，拟对</w:t>
      </w:r>
      <w:r>
        <w:rPr>
          <w:rFonts w:ascii="仿宋_GB2312" w:hAnsi="仿宋_GB2312" w:cs="仿宋_GB2312" w:eastAsia="仿宋_GB2312"/>
        </w:rPr>
        <w:t>渭南市公共就业服务能力提升示范项目信息化建设方案咨询设计服务项目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渭南市公共就业服务能力提升示范项目信息化建设方案咨询设计服务项目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南市公共就业服务能力提升示范项目信息化建设项目涉及的单位及部门进行现状及需求调研，编制可行性研究报告、初步设计方案、实施方案和概算，包含阶段性成果汇报文稿和演示等，报送财政局、数据局等项目审批主管部门并通过专家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1、法人授权委托书/法人身份证明书：法定代表人参与磋商时需提供法定代表人身份证明书；被授权人参与磋商时需提供法定代表人身份证明书及法定代表人授权书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0913-2363035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采购包1保证金金额：8,700.00元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渭南市人力资源和社会保障局</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服务质量达到国家相关法律法规要求、磋商文件、响应文件及采购人要求。 验收方式：本项目由采购人组织验收。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南市公共就业服务能力提升示范项目信息化建设项目涉及的单位及部门进行现状及需求调研，编制可行性研究报告、初步设计方案、实施方案和概算，包含阶段性成果汇报文稿和演示等，报送财政局、数据局等项目审批主管部门并通过专家评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870,000.00</w:t>
      </w:r>
    </w:p>
    <w:p>
      <w:pPr>
        <w:pStyle w:val="null3"/>
      </w:pPr>
      <w:r>
        <w:rPr>
          <w:rFonts w:ascii="仿宋_GB2312" w:hAnsi="仿宋_GB2312" w:cs="仿宋_GB2312" w:eastAsia="仿宋_GB2312"/>
        </w:rPr>
        <w:t>采购包最高限价（元）: 870,000.00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渭南市公共就业服务能力提升示范项目信息化建设方案咨询设计服务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标的名称：渭南市公共就业服务能力提升示范项目信息化建设方案咨询设计服务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一、项目内容</w:t>
            </w:r>
          </w:p>
          <w:p>
            <w:pPr>
              <w:pStyle w:val="null3"/>
            </w:pPr>
            <w:r>
              <w:rPr>
                <w:rFonts w:ascii="仿宋_GB2312" w:hAnsi="仿宋_GB2312" w:cs="仿宋_GB2312" w:eastAsia="仿宋_GB2312"/>
              </w:rPr>
              <w:t>1、项目概况：聚焦 2025-2026 年渭南市公共就业服务能力提升，围绕“五大数链”实施，需通过专业设计实现“覆盖全民、贯穿全程、辐射全域、便捷高效”的公共就业服务体系建设目标，为渭南市高质量充分就业示范工程和人社事业发展提供有力支撑。</w:t>
            </w:r>
          </w:p>
          <w:p>
            <w:pPr>
              <w:pStyle w:val="null3"/>
            </w:pPr>
            <w:r>
              <w:rPr>
                <w:rFonts w:ascii="仿宋_GB2312" w:hAnsi="仿宋_GB2312" w:cs="仿宋_GB2312" w:eastAsia="仿宋_GB2312"/>
              </w:rPr>
              <w:t>2、服务内容：本项目完成渭南市公共就业服务能力提升示范项目信息化建设项目可行性研究、项目调研、造价评估初步设计、实施方案编制以及整体项目实施后期示范经验提炼等工作。对渭南市公共就业服务能力提升示范项目信息化建设项目涉及的单位及部门进行现状及需求调研，编制可行性研究报告、初步设计方案、实施方案和概算，包含阶段性成果汇报文稿和演示等，报送项目审批部门并通过专家评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2、人员配备合理。有针对本项目的专项项目小组，项目负责人、工作人员分工明确（应有具体成员名单，包括姓名、工作职责等）。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5、配合采购人完成对设计方案相关的其他工作。</w:t>
            </w:r>
          </w:p>
          <w:p>
            <w:pPr>
              <w:pStyle w:val="null3"/>
            </w:pPr>
            <w:r>
              <w:rPr>
                <w:rFonts w:ascii="仿宋_GB2312" w:hAnsi="仿宋_GB2312" w:cs="仿宋_GB2312" w:eastAsia="仿宋_GB2312"/>
              </w:rPr>
              <w:t>6、服务期内7*24小时响应，响应方式包括邮件、电话、微信等。</w:t>
            </w:r>
          </w:p>
          <w:p>
            <w:pPr>
              <w:pStyle w:val="null3"/>
            </w:pPr>
            <w:r>
              <w:rPr>
                <w:rFonts w:ascii="仿宋_GB2312" w:hAnsi="仿宋_GB2312" w:cs="仿宋_GB2312" w:eastAsia="仿宋_GB2312"/>
              </w:rPr>
              <w:t>7、设计周期：30日历天内出具初稿，60日历天内通过评审并获取项目批复文件。</w:t>
            </w:r>
          </w:p>
          <w:p>
            <w:pPr>
              <w:pStyle w:val="null3"/>
            </w:pPr>
            <w:r>
              <w:rPr>
                <w:rFonts w:ascii="仿宋_GB2312" w:hAnsi="仿宋_GB2312" w:cs="仿宋_GB2312" w:eastAsia="仿宋_GB2312"/>
              </w:rPr>
              <w:t>8、质量要求：所有设计需符合国家相关规范及项目要求，通过相关部门审核备案。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服务质量达到国家相关法律法规要求、磋商文件、响应文件及采购人要求。 验收方式：本项目由采购人组织验收。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本项目服务费根据项目进度进行支付，合同签订后支付合同总价款的40%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服务内容全部完成后再支付合同总价款的40%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项目任务全部完成且通过评审取得批复后付清全部合同价款。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不能按合同规定的时间提交工作成果和提供服务时，或提供的技术服务有瑕疵，不能满足甲方正常使用的，视为违约，乙方应向甲方支付合同总价10%的违约金并承担由此给甲方造成的全部损失，包括但不限于违约金、损失赔偿金等。 2.特殊情况下，乙方征得甲方书面同意后，合同履行期限可以顺延。若乙方在甲方规定期限内仍无法提交工作成果和提供服务时，每迟延一天，甲方按本合同未完成部分价格的0.5%扣除乙方未支付的合同款，直至乙方完成合同约定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内容为实质性要求，不响应按无效磋商处理；（2）纸质版文件要求：中标（成交）供应商在中标（成交）结果公告发布后3个工作日内提供叁套纸质投标文件（经编标工具生成的文件直接打印并加盖公章），递交的纸质版文件内容确保与线上电子文件保持一致，不允许修改和补充。（3）根据《政府采购法实施条例》释义，银行、保险、石油石化、电力、电信等有行业特殊情况的，允许法人的分支机构参加政府采购活动。（4）中小企业划型标准规定：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响应文件封面 政府采购供应商拒绝政府采购领域商业贿赂承诺书.docx 服务内容及服务邀请应答表 中小企业声明函 残疾人福利性单位声明函 商务应答表 服务方案 标的清单 供应商资格证明文件.docx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供应商近三年（2022年12月至今）具有类似项目业绩（以合同签订日期为准）。 一个业绩得1分，最高得3分。投标人须提供业绩合同复印件加盖公章，未按要求提供不得分。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根据项目内容特点组建项目服务团队（项目负责人除外），每配备一名相关专业正高级职称人员得2分，每配备一名相关专业副高级职称人员得1分，本项最高得12分。（提供职称证书原件扫描件或证明材料，加盖单位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拟派项目负责人具有相关专业正高级职称得 3 分；具有相关专业副高级职称得 1 分。（提供职称证书原件扫描件或证明材料，加盖单位公章，否则不得分）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对项目的理解程度</w:t>
            </w:r>
          </w:p>
        </w:tc>
        <w:tc>
          <w:tcPr>
            <w:tcW w:type="dxa" w:w="2492"/>
          </w:tcPr>
          <w:p>
            <w:pPr>
              <w:pStyle w:val="null3"/>
            </w:pPr>
            <w:r>
              <w:rPr>
                <w:rFonts w:ascii="仿宋_GB2312" w:hAnsi="仿宋_GB2312" w:cs="仿宋_GB2312" w:eastAsia="仿宋_GB2312"/>
              </w:rPr>
              <w:t>评审内容： 供应商针对本项目的理解程度，包含①项目背景调查；②项目需求理解；③预期效果评估及重难点分析。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供应商针对本项目提供总体实施方案，包含①现状调研方案（含调研范围、对象、方法、流程等）；②可行性研究报告编制方案；③初步设计及实施方案编制方案；④造价评估方案（含概算编制依据、精准性保障措施）；⑤示范经验提炼及成果交付方案。 评审标准： 每一条评审内容不存在缺陷得3分；满分15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供应商针对本项目提供服务质量的保障措施，包含①调研数据真实性保障机制；②报告及方案编制质量控制体系；③造价评估精准性保障措施；④成果通过专家评审及审批部门审核的保障措施。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 供应商针对本项目提供安全保障措施，包含①调研过程中数据安全及保密管理制度；②成果文件安全存储及交付机制；③应急问题处理方案。 评审标准： 每一条评审内容不存在缺陷得3分；满分9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评审内容： 供应商针对本项目提供进度计划保障措施，包含：①整体进度计划安排；②进度推进保障措施；③团队分工与跨部门协调机制；④资源（人员、技术、设备）保障方案。 评审标准： 每一条评审内容不存在缺陷得3分；满分12分。每有一条评审内容出现一处缺陷扣0.5分，扣完为止；未提供得0分。(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