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版本号：ZCSP-渭南市-2025-0092720251225001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渭南市中心城区南塬防洪规划编制服务项目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ZCSP-渭南市-2025-00927</w:t>
      </w:r>
      <w:r>
        <w:br/>
      </w:r>
      <w:r>
        <w:br/>
      </w:r>
      <w:r>
        <w:br/>
      </w:r>
    </w:p>
    <w:p>
      <w:pPr>
        <w:pStyle w:val="null3"/>
        <w:jc w:val="center"/>
        <w:outlineLvl w:val="2"/>
      </w:pPr>
      <w:r>
        <w:rPr>
          <w:rFonts w:ascii="仿宋_GB2312" w:hAnsi="仿宋_GB2312" w:cs="仿宋_GB2312" w:eastAsia="仿宋_GB2312"/>
          <w:sz w:val="28"/>
          <w:b/>
        </w:rPr>
        <w:t>渭南市住房和城乡建设局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渭南市住房和城乡建设局</w:t>
      </w:r>
      <w:r>
        <w:rPr>
          <w:rFonts w:ascii="仿宋_GB2312" w:hAnsi="仿宋_GB2312" w:cs="仿宋_GB2312" w:eastAsia="仿宋_GB2312"/>
        </w:rPr>
        <w:t>委托，拟对</w:t>
      </w:r>
      <w:r>
        <w:rPr>
          <w:rFonts w:ascii="仿宋_GB2312" w:hAnsi="仿宋_GB2312" w:cs="仿宋_GB2312" w:eastAsia="仿宋_GB2312"/>
        </w:rPr>
        <w:t>渭南市中心城区南塬防洪规划编制服务项目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渭南市中心城区南塬防洪规划编制服务项目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整体提升主城区南塬的山洪防御标准，确保设防标准内的南塬山洪不进城，实现“控源、拦沙、固沟、削峰、护城”的目标，缓解城市内涝顽疾，提升城市防洪排涝能力，现实施渭南市中心城区南塬防洪规划编制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采购包1（渭南市中心城区南塬防洪规划编制服务项目）：属于专门面向中小企业采购。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1、企业资质：供应商须具备工程设计综合甲级资质或工程设计水利行业乙级（含乙级）及以上资质或工程设计水利行业（城市防洪）专业乙级（含乙级）及以上资质</w:t>
      </w:r>
    </w:p>
    <w:p>
      <w:pPr>
        <w:pStyle w:val="null3"/>
      </w:pPr>
      <w:r>
        <w:rPr>
          <w:rFonts w:ascii="仿宋_GB2312" w:hAnsi="仿宋_GB2312" w:cs="仿宋_GB2312" w:eastAsia="仿宋_GB2312"/>
        </w:rPr>
        <w:t>2、项目负责人：拟派项目负责人须具备水利水电相关专业副高级及以上职称</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3、法定代表人身份证明书/法定代表人授权书：法定代表人参与磋商时需提供法定代表人身份证明书；被授权人参与磋商时需提供法定代表人身份证明书以及法定代表人授权书。</w:t>
      </w:r>
    </w:p>
    <w:p>
      <w:pPr>
        <w:pStyle w:val="null3"/>
      </w:pPr>
      <w:r>
        <w:rPr>
          <w:rFonts w:ascii="仿宋_GB2312" w:hAnsi="仿宋_GB2312" w:cs="仿宋_GB2312" w:eastAsia="仿宋_GB2312"/>
        </w:rPr>
        <w:t>4、磋商保证金交纳凭证：磋商保证金缴纳凭证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6、无控股、管理承诺：单位负责人为同一人或者存在直接控股、管理关系的不同供应商，不得参加同一合同项下的政府采购活动。（格式自拟，加盖供应商公章）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按照《国家发展改革委关于进一步放开建设项目专业服务价格的通知》（发改价格﹝2015﹞299号）的要求，参照原国家计委关于《招标代理服务收费管理暂行办法》（计价格〔2002〕1980号）以及国家发改价格〔2011〕534号文件规定中代理费计算方式计取。 2.暂定价：17400元。最终结算价：中标价100万以内（含100万）以本项目中标价*1.5%计取，中标价超过100万以（100万*1.5%）+（中标价-100万）*0.8%计取。 3.代理服务费在招标工作完成后由甲方一次性付清。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渭南市住房和城乡建设局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1.质量标准：成果文件及配套服务达到国家及行业验收合格标准。 2.本项目由采购人及相关部门定期对项目进行阶段性验收。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整体提升主城区南塬的山洪防御标准，确保设防标准内的南塬山洪不进城，实现“控源、拦沙、固沟、削峰、护城”的目标，缓解城市内涝顽疾，提升城市防洪排涝能力，现实施渭南市中心城区南塬防洪规划编制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渭南市中心城区南塬防洪规划编制服务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标的名称：渭南市中心城区南塬防洪规划编制服务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为整体提升主城区南塬的山洪防御标准，确保设防标准内的南塬山洪不进城，实现“控源、拦沙、固沟、削峰、护城”的目标，缓解城市内涝顽疾，提升城市防洪排涝能力，现实施渭南市中心城区南塬防洪规划编制服务项目</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根据主城区南塬地区山洪形成特点以及下游建成区、保护区等情况，按照“控源减排、过程控制、末端疏通、客内分离”的总体思路进行规划设计，明确建设任务，形成项目库，提出应急管理措施，完成本规划编制工作。</w:t>
            </w:r>
          </w:p>
          <w:p>
            <w:pPr>
              <w:pStyle w:val="null3"/>
            </w:pPr>
            <w:r>
              <w:rPr>
                <w:rFonts w:ascii="仿宋_GB2312" w:hAnsi="仿宋_GB2312" w:cs="仿宋_GB2312" w:eastAsia="仿宋_GB2312"/>
              </w:rPr>
              <w:t>三、服务具体要求</w:t>
            </w:r>
          </w:p>
          <w:p>
            <w:pPr>
              <w:pStyle w:val="null3"/>
            </w:pPr>
            <w:r>
              <w:rPr>
                <w:rFonts w:ascii="仿宋_GB2312" w:hAnsi="仿宋_GB2312" w:cs="仿宋_GB2312" w:eastAsia="仿宋_GB2312"/>
              </w:rPr>
              <w:t>（一）主要任务</w:t>
            </w:r>
          </w:p>
          <w:p>
            <w:pPr>
              <w:pStyle w:val="null3"/>
            </w:pPr>
            <w:r>
              <w:rPr>
                <w:rFonts w:ascii="仿宋_GB2312" w:hAnsi="仿宋_GB2312" w:cs="仿宋_GB2312" w:eastAsia="仿宋_GB2312"/>
              </w:rPr>
              <w:t>以现有防洪工程为基础，按照分区设防、重点保障的原则，对渭南市中心城区主要洪涝致灾因素进行梳理，采取防洪治涝工程措施和非工程措施，合理优化中心城区涝水的出路，承涝水体规模，蓄排结合，提高雨水的消纳能力和下排能力，提升中心城区总体防洪治涝标准，建成与渭南市中心城区社会经济发展相适应的防洪治涝措施体系，从而完善防洪治涝工程的总体布局，提升中心城区总体防洪治涝标准。</w:t>
            </w:r>
          </w:p>
          <w:p>
            <w:pPr>
              <w:pStyle w:val="null3"/>
            </w:pPr>
            <w:r>
              <w:rPr>
                <w:rFonts w:ascii="仿宋_GB2312" w:hAnsi="仿宋_GB2312" w:cs="仿宋_GB2312" w:eastAsia="仿宋_GB2312"/>
              </w:rPr>
              <w:t>（二）规划目标</w:t>
            </w:r>
          </w:p>
          <w:p>
            <w:pPr>
              <w:pStyle w:val="null3"/>
            </w:pPr>
            <w:r>
              <w:rPr>
                <w:rFonts w:ascii="仿宋_GB2312" w:hAnsi="仿宋_GB2312" w:cs="仿宋_GB2312" w:eastAsia="仿宋_GB2312"/>
              </w:rPr>
              <w:t>构建渭南主城区南塬区域山洪防御系统，消除汛期洪水携带泥沙入城现象，将规划范围内城市山洪防治标准提高到50年一遇，实现防护标准内洪水不入城的目标。结合渭南市海绵城市专项规划系列项目实施，渭南主城区一般地区3年一遇，重要地区5年一遇，城区内涝防治标准达到30年一遇，最终彻底缓解城市内涝顽疾，综合提升城市防洪排涝能力，实现“控源、拦沙、固沟、削峰、护城”的最终目标。</w:t>
            </w:r>
          </w:p>
          <w:p>
            <w:pPr>
              <w:pStyle w:val="null3"/>
            </w:pPr>
            <w:r>
              <w:rPr>
                <w:rFonts w:ascii="仿宋_GB2312" w:hAnsi="仿宋_GB2312" w:cs="仿宋_GB2312" w:eastAsia="仿宋_GB2312"/>
              </w:rPr>
              <w:t>（三）规划原则</w:t>
            </w:r>
          </w:p>
          <w:p>
            <w:pPr>
              <w:pStyle w:val="null3"/>
            </w:pPr>
            <w:r>
              <w:rPr>
                <w:rFonts w:ascii="仿宋_GB2312" w:hAnsi="仿宋_GB2312" w:cs="仿宋_GB2312" w:eastAsia="仿宋_GB2312"/>
              </w:rPr>
              <w:t>(1)、积极贯彻"关于推进海绵城市建设的指导意见"，以解决城市内涝雨水收集利用，实现小雨不积水、大雨不内涝等问题;</w:t>
            </w:r>
          </w:p>
          <w:p>
            <w:pPr>
              <w:pStyle w:val="null3"/>
            </w:pPr>
            <w:r>
              <w:rPr>
                <w:rFonts w:ascii="仿宋_GB2312" w:hAnsi="仿宋_GB2312" w:cs="仿宋_GB2312" w:eastAsia="仿宋_GB2312"/>
              </w:rPr>
              <w:t>(2)、坚持源头减排原则，通过塬面、沟坡综合治理，拦洪坝建设实现"塬面径流不下坡，坡面泥水不入沟，沟内泥水不入城";</w:t>
            </w:r>
          </w:p>
          <w:p>
            <w:pPr>
              <w:pStyle w:val="null3"/>
            </w:pPr>
            <w:r>
              <w:rPr>
                <w:rFonts w:ascii="仿宋_GB2312" w:hAnsi="仿宋_GB2312" w:cs="仿宋_GB2312" w:eastAsia="仿宋_GB2312"/>
              </w:rPr>
              <w:t>(3)、坚持高水高排，客水与内水分离的原则，尽量将山洪在城区外围挡截导排至河道或天然水体;</w:t>
            </w:r>
          </w:p>
          <w:p>
            <w:pPr>
              <w:pStyle w:val="null3"/>
            </w:pPr>
            <w:r>
              <w:rPr>
                <w:rFonts w:ascii="仿宋_GB2312" w:hAnsi="仿宋_GB2312" w:cs="仿宋_GB2312" w:eastAsia="仿宋_GB2312"/>
              </w:rPr>
              <w:t>(4)、坚持雨洪资源的开发利用，以当地农田灌溉、林地灌溉、村庄浇洒等为主；</w:t>
            </w:r>
          </w:p>
          <w:p>
            <w:pPr>
              <w:pStyle w:val="null3"/>
            </w:pPr>
            <w:r>
              <w:rPr>
                <w:rFonts w:ascii="仿宋_GB2312" w:hAnsi="仿宋_GB2312" w:cs="仿宋_GB2312" w:eastAsia="仿宋_GB2312"/>
              </w:rPr>
              <w:t>(5)、生态突出,人水和谐，科学规划，系统治理，循环利用，让水网相连、水系相通,实现聚住水、留住水、涵养水、用好水。</w:t>
            </w:r>
          </w:p>
          <w:p>
            <w:pPr>
              <w:pStyle w:val="null3"/>
            </w:pPr>
            <w:r>
              <w:rPr>
                <w:rFonts w:ascii="仿宋_GB2312" w:hAnsi="仿宋_GB2312" w:cs="仿宋_GB2312" w:eastAsia="仿宋_GB2312"/>
              </w:rPr>
              <w:t>（四）规划范围</w:t>
            </w:r>
          </w:p>
          <w:p>
            <w:pPr>
              <w:pStyle w:val="null3"/>
            </w:pPr>
            <w:r>
              <w:rPr>
                <w:rFonts w:ascii="仿宋_GB2312" w:hAnsi="仿宋_GB2312" w:cs="仿宋_GB2312" w:eastAsia="仿宋_GB2312"/>
              </w:rPr>
              <w:t>渭南市中心城区防洪规划范围东到临渭区向阳办康沟，西到西安市与渭南市界线，北到G310国道或陇海线，南到三张水库、零河水库流域界线，或黄土台塬前缘，东西约19km，南北约2～5km，面积约56.9km2，其中临渭区沋河以西约19km2，沋河以东约26.3km2，高新区约11.6km2。规划区地形地貌有沟谷、台地、台塬、村庄。</w:t>
            </w:r>
          </w:p>
          <w:p>
            <w:pPr>
              <w:pStyle w:val="null3"/>
            </w:pPr>
            <w:r>
              <w:rPr>
                <w:rFonts w:ascii="仿宋_GB2312" w:hAnsi="仿宋_GB2312" w:cs="仿宋_GB2312" w:eastAsia="仿宋_GB2312"/>
              </w:rPr>
              <w:t>规划基准年2022年，水平年2030年。</w:t>
            </w:r>
          </w:p>
          <w:p>
            <w:pPr>
              <w:pStyle w:val="null3"/>
            </w:pPr>
            <w:r>
              <w:rPr>
                <w:rFonts w:ascii="仿宋_GB2312" w:hAnsi="仿宋_GB2312" w:cs="仿宋_GB2312" w:eastAsia="仿宋_GB2312"/>
              </w:rPr>
              <w:t>（五）规划依据及执行的相关规范</w:t>
            </w:r>
          </w:p>
          <w:p>
            <w:pPr>
              <w:pStyle w:val="null3"/>
            </w:pPr>
            <w:r>
              <w:rPr>
                <w:rFonts w:ascii="仿宋_GB2312" w:hAnsi="仿宋_GB2312" w:cs="仿宋_GB2312" w:eastAsia="仿宋_GB2312"/>
              </w:rPr>
              <w:t>《中华人民共和国城乡规划法》</w:t>
            </w:r>
          </w:p>
          <w:p>
            <w:pPr>
              <w:pStyle w:val="null3"/>
            </w:pPr>
            <w:r>
              <w:rPr>
                <w:rFonts w:ascii="仿宋_GB2312" w:hAnsi="仿宋_GB2312" w:cs="仿宋_GB2312" w:eastAsia="仿宋_GB2312"/>
              </w:rPr>
              <w:t>《城市排水工程规划规范》</w:t>
            </w:r>
          </w:p>
          <w:p>
            <w:pPr>
              <w:pStyle w:val="null3"/>
            </w:pPr>
            <w:r>
              <w:rPr>
                <w:rFonts w:ascii="仿宋_GB2312" w:hAnsi="仿宋_GB2312" w:cs="仿宋_GB2312" w:eastAsia="仿宋_GB2312"/>
              </w:rPr>
              <w:t>《城市防洪规划规范》</w:t>
            </w:r>
          </w:p>
          <w:p>
            <w:pPr>
              <w:pStyle w:val="null3"/>
            </w:pPr>
            <w:r>
              <w:rPr>
                <w:rFonts w:ascii="仿宋_GB2312" w:hAnsi="仿宋_GB2312" w:cs="仿宋_GB2312" w:eastAsia="仿宋_GB2312"/>
              </w:rPr>
              <w:t>《中华人民共和国防洪法》</w:t>
            </w:r>
          </w:p>
          <w:p>
            <w:pPr>
              <w:pStyle w:val="null3"/>
            </w:pPr>
            <w:r>
              <w:rPr>
                <w:rFonts w:ascii="仿宋_GB2312" w:hAnsi="仿宋_GB2312" w:cs="仿宋_GB2312" w:eastAsia="仿宋_GB2312"/>
              </w:rPr>
              <w:t>《防洪标准》</w:t>
            </w:r>
          </w:p>
          <w:p>
            <w:pPr>
              <w:pStyle w:val="null3"/>
            </w:pPr>
            <w:r>
              <w:rPr>
                <w:rFonts w:ascii="仿宋_GB2312" w:hAnsi="仿宋_GB2312" w:cs="仿宋_GB2312" w:eastAsia="仿宋_GB2312"/>
              </w:rPr>
              <w:t>《陕西省城乡规划条例》</w:t>
            </w:r>
          </w:p>
          <w:p>
            <w:pPr>
              <w:pStyle w:val="null3"/>
            </w:pPr>
            <w:r>
              <w:rPr>
                <w:rFonts w:ascii="仿宋_GB2312" w:hAnsi="仿宋_GB2312" w:cs="仿宋_GB2312" w:eastAsia="仿宋_GB2312"/>
              </w:rPr>
              <w:t>《城市市容和环境卫生管理条例》</w:t>
            </w:r>
          </w:p>
          <w:p>
            <w:pPr>
              <w:pStyle w:val="null3"/>
            </w:pPr>
            <w:r>
              <w:rPr>
                <w:rFonts w:ascii="仿宋_GB2312" w:hAnsi="仿宋_GB2312" w:cs="仿宋_GB2312" w:eastAsia="仿宋_GB2312"/>
              </w:rPr>
              <w:t>其它国家、行业、地方现行执行规范、规程、标准。</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（1）服务内容满足防洪规划编制要求；</w:t>
            </w:r>
          </w:p>
          <w:p>
            <w:pPr>
              <w:pStyle w:val="null3"/>
            </w:pPr>
            <w:r>
              <w:rPr>
                <w:rFonts w:ascii="仿宋_GB2312" w:hAnsi="仿宋_GB2312" w:cs="仿宋_GB2312" w:eastAsia="仿宋_GB2312"/>
              </w:rPr>
              <w:t>（2）在服务范围内按工作内容和要求制定详细的方案，方案科学、合理、可靠。</w:t>
            </w:r>
          </w:p>
          <w:p>
            <w:pPr>
              <w:pStyle w:val="null3"/>
            </w:pPr>
            <w:r>
              <w:rPr>
                <w:rFonts w:ascii="仿宋_GB2312" w:hAnsi="仿宋_GB2312" w:cs="仿宋_GB2312" w:eastAsia="仿宋_GB2312"/>
              </w:rPr>
              <w:t>（3）人员配备合理。有针对本项目的专项服务小组，项目负责人、工作人员分工明确（应有具体成员名单，包括姓名、工作职责等）</w:t>
            </w:r>
          </w:p>
          <w:p>
            <w:pPr>
              <w:pStyle w:val="null3"/>
            </w:pPr>
            <w:r>
              <w:rPr>
                <w:rFonts w:ascii="仿宋_GB2312" w:hAnsi="仿宋_GB2312" w:cs="仿宋_GB2312" w:eastAsia="仿宋_GB2312"/>
              </w:rPr>
              <w:t>（4）有各类突发事件的应急预案和措施，有明确具体的承诺。</w:t>
            </w:r>
          </w:p>
          <w:p>
            <w:pPr>
              <w:pStyle w:val="null3"/>
            </w:pPr>
            <w:r>
              <w:rPr>
                <w:rFonts w:ascii="仿宋_GB2312" w:hAnsi="仿宋_GB2312" w:cs="仿宋_GB2312" w:eastAsia="仿宋_GB2312"/>
              </w:rPr>
              <w:t>（5）供应商所拟派的工作人员，若在服务期间发生任何伤害，采购人概不负责，由供应商自行处理。</w:t>
            </w:r>
          </w:p>
          <w:p>
            <w:pPr>
              <w:pStyle w:val="null3"/>
            </w:pPr>
            <w:r>
              <w:rPr>
                <w:rFonts w:ascii="仿宋_GB2312" w:hAnsi="仿宋_GB2312" w:cs="仿宋_GB2312" w:eastAsia="仿宋_GB2312"/>
              </w:rPr>
              <w:t>（6）成果文件必须通过专家评审、政府或相关行业主管部门审批。</w:t>
            </w:r>
          </w:p>
          <w:p>
            <w:pPr>
              <w:pStyle w:val="null3"/>
            </w:pPr>
            <w:r>
              <w:rPr>
                <w:rFonts w:ascii="仿宋_GB2312" w:hAnsi="仿宋_GB2312" w:cs="仿宋_GB2312" w:eastAsia="仿宋_GB2312"/>
              </w:rPr>
              <w:t>（七）质量要求</w:t>
            </w:r>
          </w:p>
          <w:p>
            <w:pPr>
              <w:pStyle w:val="null3"/>
            </w:pPr>
            <w:r>
              <w:rPr>
                <w:rFonts w:ascii="仿宋_GB2312" w:hAnsi="仿宋_GB2312" w:cs="仿宋_GB2312" w:eastAsia="仿宋_GB2312"/>
              </w:rPr>
              <w:t>（1）符合国家相关行业规范、规程和有关技术规定；</w:t>
            </w:r>
          </w:p>
          <w:p>
            <w:pPr>
              <w:pStyle w:val="null3"/>
            </w:pPr>
            <w:r>
              <w:rPr>
                <w:rFonts w:ascii="仿宋_GB2312" w:hAnsi="仿宋_GB2312" w:cs="仿宋_GB2312" w:eastAsia="仿宋_GB2312"/>
              </w:rPr>
              <w:t>（2）成果文件及质量满足相关部门的规定。</w:t>
            </w:r>
          </w:p>
          <w:p>
            <w:pPr>
              <w:pStyle w:val="null3"/>
            </w:pPr>
            <w:r>
              <w:rPr>
                <w:rFonts w:ascii="仿宋_GB2312" w:hAnsi="仿宋_GB2312" w:cs="仿宋_GB2312" w:eastAsia="仿宋_GB2312"/>
              </w:rPr>
              <w:t>（八）成果形式</w:t>
            </w:r>
          </w:p>
          <w:p>
            <w:pPr>
              <w:pStyle w:val="null3"/>
            </w:pPr>
            <w:r>
              <w:rPr>
                <w:rFonts w:ascii="仿宋_GB2312" w:hAnsi="仿宋_GB2312" w:cs="仿宋_GB2312" w:eastAsia="仿宋_GB2312"/>
              </w:rPr>
              <w:t>内 容：《渭南市中心城区南塬防洪规划报告》</w:t>
            </w:r>
          </w:p>
          <w:p>
            <w:pPr>
              <w:pStyle w:val="null3"/>
            </w:pPr>
            <w:r>
              <w:rPr>
                <w:rFonts w:ascii="仿宋_GB2312" w:hAnsi="仿宋_GB2312" w:cs="仿宋_GB2312" w:eastAsia="仿宋_GB2312"/>
              </w:rPr>
              <w:t>形 式：纸质版8份，电子版1份。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人员配备合理。有针对本项目的专项服务小组，项目负责人、工作人员分工明确（应有具体成员名单，包括姓名、工作职责等）。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价款包括完成本次规划编制的所有费用，包括但不限于项目调研费、现场踏勘费、环境现状检测费、人工费、材料费、交通费、住宿费、管理费、专家咨询费、税金、利润、磋商文件明示及暗示所有风险等所有费用，服务期内采购人不再增加任何费用。 2.供应商应按照规定完成项目全部实施内容且达到合格标准。 3.供应商接受项目行业管理部门及政府有关部门的指导，接受采购人的监督。</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1.质量标准：成果文件及配套服务达到国家及行业验收合格标准。 2.本项目由采购人及相关部门定期对项目进行阶段性验收。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本次服务费根据项目完成进度支付。合同签订后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初步成果通过采购人及相关行业主管部门组织的专家评审后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最终成果获得政府或相关部门批复后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的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2.根据《政府采购法实施条例》释义，银行、保险、石油石化、电力、电信等有行业特殊情况的，允许法人的分支机构参加政府采购活动。 3.根据关于印发中小企业划型标准规定的通知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②税收缴纳证明：提供响应文件递交截止时间前一年内任意一个月的缴费凭据；依法免税的应提供相关文件证明； ③社会保障资金缴纳证明：提供响应文件递交截止时间前一年内任意一个月的社保缴费凭据或社保机构开具的社会保险参保缴费情况证明；依法不需要缴纳社会保障资金的供应商应提供相关文件证明；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提供具有履行本合同所必需的设备和专业技术能力的说明或承诺；（格式自拟，加盖供应商公章）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提供参加政府采购活动前三年内在经营活动中无重大违法记录的书面声明；（格式自拟，加盖供应商公章）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本项目专门面向中小企业采购，供应商应为中型、小型或微型企业，供应商提供中小企业声明函，本项目所属行业：其他未列明行业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供应商须具备工程设计综合甲级资质或工程设计水利行业乙级（含乙级）及以上资质或工程设计水利行业（城市防洪）专业乙级（含乙级）及以上资质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拟派项目负责人须具备水利水电相关专业副高级及以上职称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法定代表人参与磋商时需提供法定代表人身份证明书；被授权人参与磋商时需提供法定代表人身份证明书以及法定代表人授权书。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磋商保证金缴纳凭证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供应商其它资料.docx 中小企业声明函 商务应答表 报价表 供应商承诺书.docx 响应文件封面 分项报价表.docx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供应商名称应与营业执照等证件相一致</w:t>
            </w:r>
          </w:p>
        </w:tc>
        <w:tc>
          <w:tcPr>
            <w:tcW w:type="dxa" w:w="1661"/>
          </w:tcPr>
          <w:p>
            <w:pPr>
              <w:pStyle w:val="null3"/>
            </w:pPr>
            <w:r>
              <w:rPr>
                <w:rFonts w:ascii="仿宋_GB2312" w:hAnsi="仿宋_GB2312" w:cs="仿宋_GB2312" w:eastAsia="仿宋_GB2312"/>
              </w:rPr>
              <w:t>服务内容及服务邀请应答表 供应商其它资料.docx 中小企业声明函 商务应答表 报价表 供应商承诺书.docx 响应文件封面 分项报价表.docx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服务期满足磋商文件规定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满足磋商文件实质性服务技术及商务要求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服务内容及服务邀请应答表 供应商其它资料.docx 中小企业声明函 商务应答表 报价表 供应商承诺书.docx 响应文件封面 分项报价表.docx 残疾人福利性单位声明函 标的清单 供应商资格证明文件.docx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（一）评审内容：①项目需求理解；②重点难点分析；③项目目标；④工作技术路线及方法； （二）评审标准： （1）每项评审内容完整无缺陷得5分；未提供得0分；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（一）评审内容：①质量保障体系；②质量管控要求；③质量保障措施； （二）评审标准： （1）每项评审内容完整无缺陷得5分；未提供得0分；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（一）评审内容：①进度安排计划；②进度保障措施；③应急措施； （二）评审标准： （1）每项评审内容完整无缺陷得5分；未提供得0分；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（一）评审内容：①后续服务内容；②后续服务方案；③响应时间。 （二）评审标准： （1）每项评审内容完整无缺陷得4分；未提供得0分；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1.项目组成人员（除项目负责人）分工明确、责任明确，结构合理，每增加一名人员得1分，最高得6分。 2.项目组成人员中（除项目负责人），每有1名水利水电相关专业中级职称人员得0.5分,每有1名水利水电相关专业副高级及以上职称人员得1分；本项最高得6分。 注：提供人员证明材料复印件，加盖单位鲜章，否则不得分。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供应商近年（2022年1月1日至今）具有类似项目业绩，每提供1个业绩得1分，本项最高得4分。（业绩证明文件包括合同等证明资料，提供复印件加盖单位公章，时间以合同签订时间或相关证明资料落款时间为准。）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满足竞争性磋商文件要求且磋商价格最低的最终磋商报价为磋商基准价，得满分20分； (3) 磋商报价得分=(磋商基准价／最终磋商报价)×20%×100。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