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版本号：ZCSP-渭南市-2025-00918、SXQYKZ-DL-2025-009.1B120251225001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地市级媒体深度融合发展项目(二次)</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ZCSP-渭南市-2025-00918、SXQYKZ-DL-2025-009.1B1</w:t>
      </w:r>
      <w:r>
        <w:br/>
      </w:r>
      <w:r>
        <w:br/>
      </w:r>
      <w:r>
        <w:br/>
      </w:r>
    </w:p>
    <w:p>
      <w:pPr>
        <w:pStyle w:val="null3"/>
        <w:jc w:val="center"/>
        <w:outlineLvl w:val="5"/>
      </w:pPr>
      <w:r>
        <w:rPr>
          <w:rFonts w:ascii="仿宋_GB2312" w:hAnsi="仿宋_GB2312" w:cs="仿宋_GB2312" w:eastAsia="仿宋_GB2312"/>
          <w:sz w:val="15"/>
          <w:b/>
        </w:rPr>
        <w:t>中共渭南市委宣传部</w:t>
      </w:r>
    </w:p>
    <w:p>
      <w:pPr>
        <w:pStyle w:val="null3"/>
        <w:jc w:val="center"/>
        <w:outlineLvl w:val="5"/>
      </w:pPr>
      <w:r>
        <w:rPr>
          <w:rFonts w:ascii="仿宋_GB2312" w:hAnsi="仿宋_GB2312" w:cs="仿宋_GB2312" w:eastAsia="仿宋_GB2312"/>
          <w:sz w:val="15"/>
          <w:b/>
        </w:rPr>
        <w:t>陕西乾通坤展项目管理有限公司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2025年12月22日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陕西乾通坤展项目管理有限公司</w:t>
      </w:r>
      <w:r>
        <w:rPr>
          <w:rFonts w:ascii="仿宋_GB2312" w:hAnsi="仿宋_GB2312" w:cs="仿宋_GB2312" w:eastAsia="仿宋_GB2312"/>
        </w:rPr>
        <w:t>（以下简称“代理机构”）受</w:t>
      </w:r>
      <w:r>
        <w:rPr>
          <w:rFonts w:ascii="仿宋_GB2312" w:hAnsi="仿宋_GB2312" w:cs="仿宋_GB2312" w:eastAsia="仿宋_GB2312"/>
        </w:rPr>
        <w:t>中共渭南市委宣传部</w:t>
      </w:r>
      <w:r>
        <w:rPr>
          <w:rFonts w:ascii="仿宋_GB2312" w:hAnsi="仿宋_GB2312" w:cs="仿宋_GB2312" w:eastAsia="仿宋_GB2312"/>
        </w:rPr>
        <w:t>委托，拟对</w:t>
      </w:r>
      <w:r>
        <w:rPr>
          <w:rFonts w:ascii="仿宋_GB2312" w:hAnsi="仿宋_GB2312" w:cs="仿宋_GB2312" w:eastAsia="仿宋_GB2312"/>
        </w:rPr>
        <w:t>地市级媒体深度融合发展项目(二次)</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ZCSP-渭南市-2025-00918、SXQYKZ-DL-2025-009.1B1</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地市级媒体深度融合发展项目(二次)</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根据《中共陕西省委宣传部关于印发&lt;陕西省推进市级媒体加快深度融合发展工作方案&gt;的通知》(陕宣字〔2023〕40号)要求和《渭南市融媒体中心建设工作方案》任务安排，为切实保障市融媒体中心建设工作顺利完成，我单位拟实施“地市级媒体深度融合发展项目”采购。</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负责人）或授权代表身份证明：供应商应授权合法的人员参加协商全过程，其中法定代表人（负责人）直接参加的，须出具法定代表人（负责人）身份证明，并与营业执照上信息一致。法定代表人（负责人）授权代表参加的，须出具法定代表人（负责人）授权书及授权代表身份证明。</w:t>
      </w:r>
    </w:p>
    <w:p>
      <w:pPr>
        <w:pStyle w:val="null3"/>
      </w:pPr>
      <w:r>
        <w:rPr>
          <w:rFonts w:ascii="仿宋_GB2312" w:hAnsi="仿宋_GB2312" w:cs="仿宋_GB2312" w:eastAsia="仿宋_GB2312"/>
        </w:rPr>
        <w:t>2、信用信息：供应商未列入“信用中国”网站（www.creditchina.gov.cn）和中国政府采购网（www.ccgp.gov.cn）失信被执行人、重大税收违法失信主体、政府采购严重违法失信行为记录名单。</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中共渭南市委宣传部</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临渭区朝阳大街21号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龙老师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0913-2126441</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陕西乾通坤展项目管理有限公司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陕西省渭南市临渭区陕西省渭南市高新技术产业开发区万达广场四号公寓1703室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张琼</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15229136707</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采购包1：10,500,000.00元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采购包1：10,500,000.00元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 857号）的有关规定标准，采购人向采购代理机构一次付清采购代理服务费。</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中共渭南市委宣传部</w:t>
      </w:r>
      <w:r>
        <w:rPr>
          <w:rFonts w:ascii="仿宋_GB2312" w:hAnsi="仿宋_GB2312" w:cs="仿宋_GB2312" w:eastAsia="仿宋_GB2312"/>
        </w:rPr>
        <w:t>和</w:t>
      </w:r>
      <w:r>
        <w:rPr>
          <w:rFonts w:ascii="仿宋_GB2312" w:hAnsi="仿宋_GB2312" w:cs="仿宋_GB2312" w:eastAsia="仿宋_GB2312"/>
        </w:rPr>
        <w:t>陕西乾通坤展项目管理有限公司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陕西乾通坤展项目管理有限公司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中共渭南市委宣传部</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陕西乾通坤展项目管理有限公司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符合国家、行业相关标准和规范，以及单一来源采购文件要求的技术标准和乙方单一来源响应文件。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陕西乾通坤展项目管理有限公司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陕西乾通坤展项目管理有限公司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陕西乾通坤展项目管理有限公司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根据《中共陕西省委宣传部关于印发&lt;陕西省推进市级媒体加快深度融合发展工作方案&gt;的通知》(陕宣字〔2023〕40号)要求和《渭南市融媒体中心建设工作方案》任务安排，为切实保障市融媒体中心建设工作顺利完成，我单位拟实施“地市级媒体深度融合发展项目”采购。</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10,500,000.00</w:t>
      </w:r>
    </w:p>
    <w:p>
      <w:pPr>
        <w:pStyle w:val="null3"/>
      </w:pPr>
      <w:r>
        <w:rPr>
          <w:rFonts w:ascii="仿宋_GB2312" w:hAnsi="仿宋_GB2312" w:cs="仿宋_GB2312" w:eastAsia="仿宋_GB2312"/>
        </w:rPr>
        <w:t>采购包最高限价（元）: 10,500,000.00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地市级媒体深度融合发展项目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标的名称：地市级媒体深度融合发展项目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总体建设目标</w:t>
            </w:r>
          </w:p>
          <w:p>
            <w:pPr>
              <w:pStyle w:val="null3"/>
            </w:pPr>
            <w:r>
              <w:rPr>
                <w:rFonts w:ascii="仿宋_GB2312" w:hAnsi="仿宋_GB2312" w:cs="仿宋_GB2312" w:eastAsia="仿宋_GB2312"/>
              </w:rPr>
              <w:t>项目以</w:t>
            </w:r>
            <w:r>
              <w:rPr>
                <w:rFonts w:ascii="仿宋_GB2312" w:hAnsi="仿宋_GB2312" w:cs="仿宋_GB2312" w:eastAsia="仿宋_GB2312"/>
              </w:rPr>
              <w:t>“技术赋能全域协同、智能驱动高效生产、服务链接民生需求、运营实现自我造血 ”为核心导向，建成符合国家技术标准、适配渭南区域发展的市级融媒体标杆平台，具体实现以下目标：</w:t>
            </w:r>
          </w:p>
          <w:p>
            <w:pPr>
              <w:pStyle w:val="null3"/>
            </w:pPr>
            <w:r>
              <w:rPr>
                <w:rFonts w:ascii="仿宋_GB2312" w:hAnsi="仿宋_GB2312" w:cs="仿宋_GB2312" w:eastAsia="仿宋_GB2312"/>
              </w:rPr>
              <w:t>1.技术架构贯通化:构建“省级统筹、市级中枢、县级联动”三级技术架构，100%实现与陕西省融媒体省级技术平台无缝对接，7县2区2市融媒体中心全部接入市级平台，数据互通率、资源共享率均达100%，形成“上下贯通、左右协同、全域一体</w:t>
            </w:r>
            <w:r>
              <w:rPr>
                <w:rFonts w:ascii="仿宋_GB2312" w:hAnsi="仿宋_GB2312" w:cs="仿宋_GB2312" w:eastAsia="仿宋_GB2312"/>
              </w:rPr>
              <w:t>”</w:t>
            </w:r>
            <w:r>
              <w:rPr>
                <w:rFonts w:ascii="仿宋_GB2312" w:hAnsi="仿宋_GB2312" w:cs="仿宋_GB2312" w:eastAsia="仿宋_GB2312"/>
              </w:rPr>
              <w:t>的媒体生态体系</w:t>
            </w:r>
            <w:r>
              <w:rPr>
                <w:rFonts w:ascii="仿宋_GB2312" w:hAnsi="仿宋_GB2312" w:cs="仿宋_GB2312" w:eastAsia="仿宋_GB2312"/>
              </w:rPr>
              <w:t>。</w:t>
            </w:r>
          </w:p>
          <w:p>
            <w:pPr>
              <w:pStyle w:val="null3"/>
            </w:pPr>
            <w:r>
              <w:rPr>
                <w:rFonts w:ascii="仿宋_GB2312" w:hAnsi="仿宋_GB2312" w:cs="仿宋_GB2312" w:eastAsia="仿宋_GB2312"/>
              </w:rPr>
              <w:t>2.生产体系智能化:打造“策采编审发”全流程智能生产闭环，集成 AIGC.大数据等核心技术，实现内容生产效率大提升，满足全媒体传播的时效与质量需求。</w:t>
            </w:r>
          </w:p>
          <w:p>
            <w:pPr>
              <w:pStyle w:val="null3"/>
            </w:pPr>
            <w:r>
              <w:rPr>
                <w:rFonts w:ascii="仿宋_GB2312" w:hAnsi="仿宋_GB2312" w:cs="仿宋_GB2312" w:eastAsia="仿宋_GB2312"/>
              </w:rPr>
              <w:t>3.传播矩阵全覆化: 实现内容一键分发、数据统一监测，主流舆论引导力、社会影响力显著增强</w:t>
            </w:r>
            <w:r>
              <w:rPr>
                <w:rFonts w:ascii="仿宋_GB2312" w:hAnsi="仿宋_GB2312" w:cs="仿宋_GB2312" w:eastAsia="仿宋_GB2312"/>
              </w:rPr>
              <w:t>。</w:t>
            </w:r>
          </w:p>
          <w:p>
            <w:pPr>
              <w:pStyle w:val="null3"/>
            </w:pPr>
            <w:r>
              <w:rPr>
                <w:rFonts w:ascii="仿宋_GB2312" w:hAnsi="仿宋_GB2312" w:cs="仿宋_GB2312" w:eastAsia="仿宋_GB2312"/>
                <w:sz w:val="21"/>
              </w:rPr>
              <w:t>4.运营管理数据化:建立全流程数据监测与分析体系，实现生产、传播用户、运营数据可视化展示与智能分析，支撑内容策划、渠道运营、绩效考核的科学决策。</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rPr>
              <w:t>需执行的国家相关标准、行业标准、地方标准或者其他标准、规范标准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1）国家相关法律法规：《中华人民共和国网络安全法》、《中华人民共和国数据安全法》、《中华人民共和国个人信息保护法》（防范用户信息泄露风险）、《广播电视管理条例》；</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2）国家及地方政策文件：《关于加快推进媒体深度融合发展的意见》《推进地市级媒体加快深度融合发展实施方案的通知》《陕西省推进市级媒体加快深度融合发展工作方案》；</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3）技术标准规范：《市级融媒体中心总体技术规范》《市级融媒体中心接口规范》 《市级融媒体中心网络安全防护基本要求》 《数据中心设计规范》 （GB50174-2017）等 29 项国家及行业标准</w:t>
            </w:r>
          </w:p>
          <w:p>
            <w:pPr>
              <w:pStyle w:val="null3"/>
            </w:pPr>
            <w:r>
              <w:rPr>
                <w:rFonts w:ascii="仿宋_GB2312" w:hAnsi="仿宋_GB2312" w:cs="仿宋_GB2312" w:eastAsia="仿宋_GB2312"/>
                <w:sz w:val="21"/>
              </w:rPr>
              <w:t>执行的国家相关标准、行业标准、地方标准以及其他标准、规范，并统一执行最新标准规范。</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b/>
              </w:rPr>
              <w:t>服务指标的具体要求</w:t>
            </w:r>
          </w:p>
          <w:p>
            <w:pPr>
              <w:pStyle w:val="null3"/>
              <w:jc w:val="both"/>
            </w:pPr>
            <w:r>
              <w:rPr>
                <w:rFonts w:ascii="仿宋_GB2312" w:hAnsi="仿宋_GB2312" w:cs="仿宋_GB2312" w:eastAsia="仿宋_GB2312"/>
                <w:sz w:val="21"/>
              </w:rPr>
              <w:t>1.业务需求分析</w:t>
            </w:r>
          </w:p>
          <w:p>
            <w:pPr>
              <w:pStyle w:val="null3"/>
              <w:jc w:val="both"/>
            </w:pPr>
            <w:r>
              <w:rPr>
                <w:rFonts w:ascii="仿宋_GB2312" w:hAnsi="仿宋_GB2312" w:cs="仿宋_GB2312" w:eastAsia="仿宋_GB2312"/>
                <w:sz w:val="21"/>
              </w:rPr>
              <w:t>渭南市级融媒体中心平台业务应用建设需要参照中央办公厅、国务院办公厅《关于加快推进媒体深度融合发展的意见》和中宣部、财政部、国家广电总局联合下发的《推进地市级媒体加快深度融合发展实施方案的通知》相关要求，进一步落实本省对媒体融合发展的相关要求，并结合地方实际发展需求，主要从内容协同、内容策划、内容汇聚、内容生产、内容发布、公共服务、增值运营等方面提供全套的融媒体能力服务。</w:t>
            </w:r>
          </w:p>
          <w:p>
            <w:pPr>
              <w:pStyle w:val="null3"/>
              <w:jc w:val="both"/>
            </w:pPr>
            <w:r>
              <w:rPr>
                <w:rFonts w:ascii="仿宋_GB2312" w:hAnsi="仿宋_GB2312" w:cs="仿宋_GB2312" w:eastAsia="仿宋_GB2312"/>
                <w:sz w:val="21"/>
              </w:rPr>
              <w:t>根据因地制宜、集约发展、充分利旧、节约成本的原则，结合中央宣传部和国家广播电视总局组织编制的《市级融媒体中心总体技术规范》等</w:t>
            </w:r>
            <w:r>
              <w:rPr>
                <w:rFonts w:ascii="仿宋_GB2312" w:hAnsi="仿宋_GB2312" w:cs="仿宋_GB2312" w:eastAsia="仿宋_GB2312"/>
                <w:sz w:val="21"/>
              </w:rPr>
              <w:t>5项技术标准规范，基于前期对渭南广播电视台、渭南日报社的业务系统平台调研情况，渭南市融媒体的实际业务需求如下：</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1）宣传管控需求</w:t>
            </w:r>
          </w:p>
          <w:p>
            <w:pPr>
              <w:pStyle w:val="null3"/>
              <w:jc w:val="both"/>
            </w:pPr>
            <w:r>
              <w:rPr>
                <w:rFonts w:ascii="仿宋_GB2312" w:hAnsi="仿宋_GB2312" w:cs="仿宋_GB2312" w:eastAsia="仿宋_GB2312"/>
                <w:sz w:val="21"/>
              </w:rPr>
              <w:t>市委宣传部作为意识形态工作的主管单位，坚持正确的舆论导向是主要工作职责。采用互联网、大数据、人工智能等先进技术建立宣传管控平台，实现统一导向、统一标准。宣传管控平台实现宣传任务、宣传主题的下发，市级媒体单位和区县媒体单位接收执行宣传任务，实现全市统一宣传；宣传管控通过任务下发与任务认领进做到行事前宣传管控，对宣传内容及时搜集整理、分析研判全域舆论、传播动态，为监管融媒体中心宣传工作，指导和推进监管融媒体中心发展，提供宣传决策数据参考，同时对于负面舆论，通过宣传管控平台及时通知媒体单位进行舆论引导，必要时可实现一键撤稿，做到全线管控。</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2）统一调度指挥需求</w:t>
            </w:r>
          </w:p>
          <w:p>
            <w:pPr>
              <w:pStyle w:val="null3"/>
              <w:jc w:val="both"/>
            </w:pPr>
            <w:r>
              <w:rPr>
                <w:rFonts w:ascii="仿宋_GB2312" w:hAnsi="仿宋_GB2312" w:cs="仿宋_GB2312" w:eastAsia="仿宋_GB2312"/>
                <w:sz w:val="21"/>
              </w:rPr>
              <w:t>市委宣传部在本市及所属媒体单位推动传统媒体和新兴媒体融合发展工作的同时，也对自身在全局统一调度方面能力的提升提出了更高要求。因此，亟须通过互联网、大数据、云计算等最新的信息化技术手段，建立一套统一调度指挥平台，将舆论管控、媒体融合及内容生产等新闻舆论相关工作进行协同统一，有效地将市委宣传部、市融媒体中心、市各委办局等融合起来，构建</w:t>
            </w:r>
            <w:r>
              <w:rPr>
                <w:rFonts w:ascii="仿宋_GB2312" w:hAnsi="仿宋_GB2312" w:cs="仿宋_GB2312" w:eastAsia="仿宋_GB2312"/>
                <w:sz w:val="21"/>
              </w:rPr>
              <w:t>“全面融合，统一平台，本地特色”的立体化传播矩阵，打造具有地区特色的融媒体品牌，全面提升本市新闻舆论工作的能力和水平。</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3）内容业务融合需求</w:t>
            </w:r>
          </w:p>
          <w:p>
            <w:pPr>
              <w:pStyle w:val="null3"/>
              <w:jc w:val="both"/>
            </w:pPr>
            <w:r>
              <w:rPr>
                <w:rFonts w:ascii="仿宋_GB2312" w:hAnsi="仿宋_GB2312" w:cs="仿宋_GB2312" w:eastAsia="仿宋_GB2312"/>
                <w:sz w:val="21"/>
              </w:rPr>
              <w:t>转变思想观念，将中心内的报纸、广播、电视、新媒体四个业务中心生产流程基于数据化</w:t>
            </w:r>
            <w:r>
              <w:rPr>
                <w:rFonts w:ascii="仿宋_GB2312" w:hAnsi="仿宋_GB2312" w:cs="仿宋_GB2312" w:eastAsia="仿宋_GB2312"/>
                <w:sz w:val="21"/>
              </w:rPr>
              <w:t>“策采编审发评”全流程进行深度融合，真正实现“一次采集、多样生产、多元发布”，构建统一的内容中心。实现资源的统一融合、生产、管理，再由各业务中心基于统一的资源实现内容的生产及发布，实现从人员、内容、工具、流程、平台、渠道等多方面体系化融合，提高融媒体中心生产传播效率，打造具有强大传播力、引导力、影响力、公信力的新型主流媒体。</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4）资源整合需求</w:t>
            </w:r>
          </w:p>
          <w:p>
            <w:pPr>
              <w:pStyle w:val="null3"/>
              <w:jc w:val="both"/>
            </w:pPr>
            <w:r>
              <w:rPr>
                <w:rFonts w:ascii="仿宋_GB2312" w:hAnsi="仿宋_GB2312" w:cs="仿宋_GB2312" w:eastAsia="仿宋_GB2312"/>
                <w:sz w:val="21"/>
              </w:rPr>
              <w:t>建立统一的智能媒资管理系统，具备集中管理、集中分发、高效协同功能。支持视频、图片、音频、文档、剧集、其他类型资源统一汇聚管理。基于人工智能和大模型，支持利用图片、语音、文字等</w:t>
            </w:r>
            <w:r>
              <w:rPr>
                <w:rFonts w:ascii="仿宋_GB2312" w:hAnsi="仿宋_GB2312" w:cs="仿宋_GB2312" w:eastAsia="仿宋_GB2312"/>
                <w:sz w:val="21"/>
              </w:rPr>
              <w:t>AI识别技术辅助资源检索以及审核，支持AIGC的内容搜集及管理能力，支持挂接全媒体生产工具，支撑各类工具对素材的调用、交互，满足平台的快速化管理。</w:t>
            </w:r>
          </w:p>
          <w:p>
            <w:pPr>
              <w:pStyle w:val="null3"/>
              <w:jc w:val="both"/>
            </w:pPr>
            <w:r>
              <w:rPr>
                <w:rFonts w:ascii="仿宋_GB2312" w:hAnsi="仿宋_GB2312" w:cs="仿宋_GB2312" w:eastAsia="仿宋_GB2312"/>
                <w:sz w:val="21"/>
              </w:rPr>
              <w:t>智能媒资管理系统支持跨部门、跨媒体、跨单位、跨地域的内容共享管理，除了支持汇聚管理融媒体中心自身新媒体内容以外，还支持面向市各党政机关、市各企事业单位、区县融媒中心开放共享平台服务与技术能力，供各级单位入驻使用，实现新闻资源整合，形成资源共享、协同生产的融媒体生态系统，构建全市宣传大格局。</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5）全媒体生产需求</w:t>
            </w:r>
          </w:p>
          <w:p>
            <w:pPr>
              <w:pStyle w:val="null3"/>
              <w:jc w:val="both"/>
            </w:pPr>
            <w:r>
              <w:rPr>
                <w:rFonts w:ascii="仿宋_GB2312" w:hAnsi="仿宋_GB2312" w:cs="仿宋_GB2312" w:eastAsia="仿宋_GB2312"/>
                <w:sz w:val="21"/>
              </w:rPr>
              <w:t>随着主流媒体单位进军互联网，出现了越来越多的媒体呈现与传播形态，媒体单位对互联网内容生产的需求逐渐发生了极大的变化，对内容生产工具的要求也越来越高。从广电流程化系统工具转变为全媒体互联网化生产工具，这需要市级融媒体中心与时俱进，打造全新的融媒体生产平台。</w:t>
            </w:r>
          </w:p>
          <w:p>
            <w:pPr>
              <w:pStyle w:val="null3"/>
              <w:jc w:val="both"/>
            </w:pPr>
            <w:r>
              <w:rPr>
                <w:rFonts w:ascii="仿宋_GB2312" w:hAnsi="仿宋_GB2312" w:cs="仿宋_GB2312" w:eastAsia="仿宋_GB2312"/>
                <w:sz w:val="21"/>
              </w:rPr>
              <w:t>本次建设的市级融媒体生产发布管理平台将重整和优化内容生产的流程，提高系统处理能力，增强生产工具安全性、可靠性、可扩展性和安全性。提供各类媒体工具，包括流处理工具、</w:t>
            </w:r>
            <w:r>
              <w:rPr>
                <w:rFonts w:ascii="仿宋_GB2312" w:hAnsi="仿宋_GB2312" w:cs="仿宋_GB2312" w:eastAsia="仿宋_GB2312"/>
                <w:sz w:val="21"/>
              </w:rPr>
              <w:t>B/S架构非编工具、短视频工具、文稿类工具、图片类工具，以及AIGC工具，通过不断提升平台全媒体生产制作能力，更好适配全媒体业务形态生产与传播需求，对推动本市各级媒体单位在节目生产流程再造、融合产品创新上起到引领带动作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6）融合发布需求</w:t>
            </w:r>
          </w:p>
          <w:p>
            <w:pPr>
              <w:pStyle w:val="null3"/>
              <w:jc w:val="both"/>
            </w:pPr>
            <w:r>
              <w:rPr>
                <w:rFonts w:ascii="仿宋_GB2312" w:hAnsi="仿宋_GB2312" w:cs="仿宋_GB2312" w:eastAsia="仿宋_GB2312"/>
                <w:sz w:val="21"/>
              </w:rPr>
              <w:t>对接现有的</w:t>
            </w:r>
            <w:r>
              <w:rPr>
                <w:rFonts w:ascii="仿宋_GB2312" w:hAnsi="仿宋_GB2312" w:cs="仿宋_GB2312" w:eastAsia="仿宋_GB2312"/>
                <w:sz w:val="21"/>
              </w:rPr>
              <w:t>APP客户端及网站，对接广播电视及报纸的传统发布渠道，整合本市融媒体中心以及党政部门、企事业单位的互联网渠道，构建融媒体统一发布平台，采用共平台生产，分渠道发布的模式，实现内容的统一管理，渠道的统一管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7）传播分析需求</w:t>
            </w:r>
          </w:p>
          <w:p>
            <w:pPr>
              <w:pStyle w:val="null3"/>
              <w:jc w:val="both"/>
            </w:pPr>
            <w:r>
              <w:rPr>
                <w:rFonts w:ascii="仿宋_GB2312" w:hAnsi="仿宋_GB2312" w:cs="仿宋_GB2312" w:eastAsia="仿宋_GB2312"/>
                <w:sz w:val="21"/>
              </w:rPr>
              <w:t>充分发挥本市融媒体中心作为市级融媒体承上启下的区域优势，在数据运营方面，对全市融媒体中心的生产数据、发布数据、传播数据进行采集分析，建立统一的数据传播分析平台，打造为市级融媒体中心数据驾驶舱，为全市融媒体中心的内容生产和内容运营决策提供数据化指导。</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8）公共服务需求</w:t>
            </w:r>
          </w:p>
          <w:p>
            <w:pPr>
              <w:pStyle w:val="null3"/>
              <w:jc w:val="both"/>
            </w:pPr>
            <w:r>
              <w:rPr>
                <w:rFonts w:ascii="仿宋_GB2312" w:hAnsi="仿宋_GB2312" w:cs="仿宋_GB2312" w:eastAsia="仿宋_GB2312"/>
                <w:sz w:val="21"/>
              </w:rPr>
              <w:t>除了满足新闻舆论宣传工作需求以外，国家对融媒体中心提出了更高要求，要求融媒体中心自身用户群体优势、信息快速触达优势，在服务地方党委政府中心工作、引导服务基层群众方面发挥更大作用，利用集聚效应，优势互补，进一步加强全媒体传播体系建设，开展多种</w:t>
            </w:r>
            <w:r>
              <w:rPr>
                <w:rFonts w:ascii="仿宋_GB2312" w:hAnsi="仿宋_GB2312" w:cs="仿宋_GB2312" w:eastAsia="仿宋_GB2312"/>
                <w:sz w:val="21"/>
              </w:rPr>
              <w:t>“新闻+公共服务”场景应用，如政策解读、便民服务、互动交流等，搭建起党政机关与人民群众之间良好沟通的桥梁，满足政务服务、党建服务、公共服务等社会需要，提升融媒体平台的社会价值和公共服务能力。</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9）运营增值需求</w:t>
            </w:r>
          </w:p>
          <w:p>
            <w:pPr>
              <w:pStyle w:val="null3"/>
              <w:jc w:val="both"/>
            </w:pPr>
            <w:r>
              <w:rPr>
                <w:rFonts w:ascii="仿宋_GB2312" w:hAnsi="仿宋_GB2312" w:cs="仿宋_GB2312" w:eastAsia="仿宋_GB2312"/>
                <w:sz w:val="21"/>
              </w:rPr>
              <w:t>融媒体中心还将探索平台的商业模式创新，通过自身专业化的内容策划、内容创作、内容宣传能力，可以向企事业单位的宣传部门提供新闻宣传的人才培养服务，通过定期培训和实战演练培养出一批掌握媒体制作技术、熟悉媒体传播规律的专业人才队伍，提升企事业单位的宣传水平和品牌形象，同时通过线上活动策划服务、宣传内容代运营以及企事业单位的专题宣传服务等一系列增值服务，走出一条</w:t>
            </w:r>
            <w:r>
              <w:rPr>
                <w:rFonts w:ascii="仿宋_GB2312" w:hAnsi="仿宋_GB2312" w:cs="仿宋_GB2312" w:eastAsia="仿宋_GB2312"/>
                <w:sz w:val="21"/>
              </w:rPr>
              <w:t>“新闻+政务+商务+服务”的可持续发展道路，提升平台的经济价值。</w:t>
            </w:r>
          </w:p>
          <w:p>
            <w:pPr>
              <w:pStyle w:val="null3"/>
              <w:jc w:val="both"/>
            </w:pPr>
            <w:r>
              <w:rPr>
                <w:rFonts w:ascii="仿宋_GB2312" w:hAnsi="仿宋_GB2312" w:cs="仿宋_GB2312" w:eastAsia="仿宋_GB2312"/>
                <w:sz w:val="21"/>
              </w:rPr>
              <w:t>2.性能需求分析</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 B端用户规模</w:t>
            </w:r>
          </w:p>
          <w:p>
            <w:pPr>
              <w:pStyle w:val="null3"/>
              <w:jc w:val="both"/>
            </w:pPr>
            <w:r>
              <w:rPr>
                <w:rFonts w:ascii="仿宋_GB2312" w:hAnsi="仿宋_GB2312" w:cs="仿宋_GB2312" w:eastAsia="仿宋_GB2312"/>
                <w:sz w:val="21"/>
              </w:rPr>
              <w:t>本次建设的融媒体平台除了满足融媒体中心自身人员使用外，还将支持市各政企单位入驻使用。融媒体中心用户规模按</w:t>
            </w:r>
            <w:r>
              <w:rPr>
                <w:rFonts w:ascii="仿宋_GB2312" w:hAnsi="仿宋_GB2312" w:cs="仿宋_GB2312" w:eastAsia="仿宋_GB2312"/>
                <w:sz w:val="21"/>
              </w:rPr>
              <w:t>637人进行，结合各政企单位使用人员情况，本次融媒中心平台承载的后端（B）使用人员总量按照700人左右进行设计。</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2）系统性能指标</w:t>
            </w:r>
          </w:p>
          <w:p>
            <w:pPr>
              <w:pStyle w:val="null3"/>
              <w:jc w:val="both"/>
            </w:pPr>
            <w:r>
              <w:rPr>
                <w:rFonts w:ascii="仿宋_GB2312" w:hAnsi="仿宋_GB2312" w:cs="仿宋_GB2312" w:eastAsia="仿宋_GB2312"/>
                <w:sz w:val="21"/>
              </w:rPr>
              <w:t>主要从响应时间给出系统性能指标，硬件系统本身的性能指标通过对信息量的测算及数据量、处理能力的计算得到。</w:t>
            </w:r>
          </w:p>
          <w:p>
            <w:pPr>
              <w:pStyle w:val="null3"/>
              <w:jc w:val="both"/>
            </w:pPr>
            <w:r>
              <w:rPr>
                <w:rFonts w:ascii="仿宋_GB2312" w:hAnsi="仿宋_GB2312" w:cs="仿宋_GB2312" w:eastAsia="仿宋_GB2312"/>
                <w:sz w:val="21"/>
              </w:rPr>
              <w:t>响应时间指完成目标系统中的交互或批量业务处理所需的响应时间，主要包括交互类业务、查询类业务、接口服务和大数据量批处理类业务，分别给出响应时间要求的参考值，包括峰值响应时间、平均响应时间。</w:t>
            </w:r>
          </w:p>
          <w:p>
            <w:pPr>
              <w:pStyle w:val="null3"/>
              <w:jc w:val="both"/>
            </w:pPr>
            <w:r>
              <w:rPr>
                <w:rFonts w:ascii="仿宋_GB2312" w:hAnsi="仿宋_GB2312" w:cs="仿宋_GB2312" w:eastAsia="仿宋_GB2312"/>
                <w:sz w:val="21"/>
              </w:rPr>
              <w:t>1）交互类业务</w:t>
            </w:r>
          </w:p>
          <w:p>
            <w:pPr>
              <w:pStyle w:val="null3"/>
              <w:jc w:val="both"/>
            </w:pPr>
            <w:r>
              <w:rPr>
                <w:rFonts w:ascii="仿宋_GB2312" w:hAnsi="仿宋_GB2312" w:cs="仿宋_GB2312" w:eastAsia="仿宋_GB2312"/>
                <w:sz w:val="21"/>
              </w:rPr>
              <w:t>交互类业务是指平时工作中在系统中进行的业务处理，如录入、修改或删除一条记录、发布一条信息等操作。</w:t>
            </w:r>
          </w:p>
          <w:p>
            <w:pPr>
              <w:pStyle w:val="null3"/>
              <w:jc w:val="both"/>
            </w:pPr>
            <w:r>
              <w:rPr>
                <w:rFonts w:ascii="仿宋_GB2312" w:hAnsi="仿宋_GB2312" w:cs="仿宋_GB2312" w:eastAsia="仿宋_GB2312"/>
                <w:sz w:val="21"/>
              </w:rPr>
              <w:t>平均响应时间：</w:t>
            </w:r>
            <w:r>
              <w:rPr>
                <w:rFonts w:ascii="仿宋_GB2312" w:hAnsi="仿宋_GB2312" w:cs="仿宋_GB2312" w:eastAsia="仿宋_GB2312"/>
                <w:sz w:val="21"/>
              </w:rPr>
              <w:t>1秒；</w:t>
            </w:r>
          </w:p>
          <w:p>
            <w:pPr>
              <w:pStyle w:val="null3"/>
              <w:jc w:val="both"/>
            </w:pPr>
            <w:r>
              <w:rPr>
                <w:rFonts w:ascii="仿宋_GB2312" w:hAnsi="仿宋_GB2312" w:cs="仿宋_GB2312" w:eastAsia="仿宋_GB2312"/>
                <w:sz w:val="21"/>
              </w:rPr>
              <w:t>峰值响应时间：</w:t>
            </w:r>
            <w:r>
              <w:rPr>
                <w:rFonts w:ascii="仿宋_GB2312" w:hAnsi="仿宋_GB2312" w:cs="仿宋_GB2312" w:eastAsia="仿宋_GB2312"/>
                <w:sz w:val="21"/>
              </w:rPr>
              <w:t>3秒。</w:t>
            </w:r>
          </w:p>
          <w:p>
            <w:pPr>
              <w:pStyle w:val="null3"/>
              <w:jc w:val="both"/>
            </w:pPr>
            <w:r>
              <w:rPr>
                <w:rFonts w:ascii="仿宋_GB2312" w:hAnsi="仿宋_GB2312" w:cs="仿宋_GB2312" w:eastAsia="仿宋_GB2312"/>
                <w:sz w:val="21"/>
              </w:rPr>
              <w:t>批量业务数据导入：</w:t>
            </w:r>
          </w:p>
          <w:p>
            <w:pPr>
              <w:pStyle w:val="null3"/>
              <w:jc w:val="both"/>
            </w:pPr>
            <w:r>
              <w:rPr>
                <w:rFonts w:ascii="仿宋_GB2312" w:hAnsi="仿宋_GB2312" w:cs="仿宋_GB2312" w:eastAsia="仿宋_GB2312"/>
                <w:sz w:val="21"/>
              </w:rPr>
              <w:t>平均响应时间：</w:t>
            </w:r>
            <w:r>
              <w:rPr>
                <w:rFonts w:ascii="仿宋_GB2312" w:hAnsi="仿宋_GB2312" w:cs="仿宋_GB2312" w:eastAsia="仿宋_GB2312"/>
                <w:sz w:val="21"/>
              </w:rPr>
              <w:t>5秒；</w:t>
            </w:r>
          </w:p>
          <w:p>
            <w:pPr>
              <w:pStyle w:val="null3"/>
              <w:jc w:val="both"/>
            </w:pPr>
            <w:r>
              <w:rPr>
                <w:rFonts w:ascii="仿宋_GB2312" w:hAnsi="仿宋_GB2312" w:cs="仿宋_GB2312" w:eastAsia="仿宋_GB2312"/>
                <w:sz w:val="21"/>
              </w:rPr>
              <w:t>峰值响应时间：</w:t>
            </w:r>
            <w:r>
              <w:rPr>
                <w:rFonts w:ascii="仿宋_GB2312" w:hAnsi="仿宋_GB2312" w:cs="仿宋_GB2312" w:eastAsia="仿宋_GB2312"/>
                <w:sz w:val="21"/>
              </w:rPr>
              <w:t>10秒。</w:t>
            </w:r>
          </w:p>
          <w:p>
            <w:pPr>
              <w:pStyle w:val="null3"/>
              <w:jc w:val="both"/>
            </w:pPr>
            <w:r>
              <w:rPr>
                <w:rFonts w:ascii="仿宋_GB2312" w:hAnsi="仿宋_GB2312" w:cs="仿宋_GB2312" w:eastAsia="仿宋_GB2312"/>
                <w:sz w:val="21"/>
              </w:rPr>
              <w:t>2）查询类业务</w:t>
            </w:r>
          </w:p>
          <w:p>
            <w:pPr>
              <w:pStyle w:val="null3"/>
              <w:jc w:val="both"/>
            </w:pPr>
            <w:r>
              <w:rPr>
                <w:rFonts w:ascii="仿宋_GB2312" w:hAnsi="仿宋_GB2312" w:cs="仿宋_GB2312" w:eastAsia="仿宋_GB2312"/>
                <w:sz w:val="21"/>
              </w:rPr>
              <w:t>查询业务由于受到查询的复杂程度、查询的数据量大小等因素的影响，需要根据具体情况而定，在此给出一个参考范围。</w:t>
            </w:r>
          </w:p>
          <w:p>
            <w:pPr>
              <w:pStyle w:val="null3"/>
              <w:jc w:val="both"/>
            </w:pPr>
            <w:r>
              <w:rPr>
                <w:rFonts w:ascii="仿宋_GB2312" w:hAnsi="仿宋_GB2312" w:cs="仿宋_GB2312" w:eastAsia="仿宋_GB2312"/>
                <w:sz w:val="21"/>
              </w:rPr>
              <w:t>简单查询平均响应时间：</w:t>
            </w:r>
            <w:r>
              <w:rPr>
                <w:rFonts w:ascii="仿宋_GB2312" w:hAnsi="仿宋_GB2312" w:cs="仿宋_GB2312" w:eastAsia="仿宋_GB2312"/>
                <w:sz w:val="21"/>
              </w:rPr>
              <w:t>1秒；</w:t>
            </w:r>
          </w:p>
          <w:p>
            <w:pPr>
              <w:pStyle w:val="null3"/>
              <w:jc w:val="both"/>
            </w:pPr>
            <w:r>
              <w:rPr>
                <w:rFonts w:ascii="仿宋_GB2312" w:hAnsi="仿宋_GB2312" w:cs="仿宋_GB2312" w:eastAsia="仿宋_GB2312"/>
                <w:sz w:val="21"/>
              </w:rPr>
              <w:t>复杂查询平均响应时间：</w:t>
            </w:r>
            <w:r>
              <w:rPr>
                <w:rFonts w:ascii="仿宋_GB2312" w:hAnsi="仿宋_GB2312" w:cs="仿宋_GB2312" w:eastAsia="仿宋_GB2312"/>
                <w:sz w:val="21"/>
              </w:rPr>
              <w:t>3秒；</w:t>
            </w:r>
          </w:p>
          <w:p>
            <w:pPr>
              <w:pStyle w:val="null3"/>
              <w:jc w:val="both"/>
            </w:pPr>
            <w:r>
              <w:rPr>
                <w:rFonts w:ascii="仿宋_GB2312" w:hAnsi="仿宋_GB2312" w:cs="仿宋_GB2312" w:eastAsia="仿宋_GB2312"/>
                <w:sz w:val="21"/>
              </w:rPr>
              <w:t>视频播放平均响应时间：</w:t>
            </w:r>
            <w:r>
              <w:rPr>
                <w:rFonts w:ascii="仿宋_GB2312" w:hAnsi="仿宋_GB2312" w:cs="仿宋_GB2312" w:eastAsia="仿宋_GB2312"/>
                <w:sz w:val="21"/>
              </w:rPr>
              <w:t>3秒。</w:t>
            </w:r>
          </w:p>
          <w:p>
            <w:pPr>
              <w:pStyle w:val="null3"/>
              <w:jc w:val="both"/>
            </w:pPr>
            <w:r>
              <w:rPr>
                <w:rFonts w:ascii="仿宋_GB2312" w:hAnsi="仿宋_GB2312" w:cs="仿宋_GB2312" w:eastAsia="仿宋_GB2312"/>
                <w:sz w:val="21"/>
              </w:rPr>
              <w:t>3）接口服务</w:t>
            </w:r>
          </w:p>
          <w:p>
            <w:pPr>
              <w:pStyle w:val="null3"/>
              <w:jc w:val="both"/>
            </w:pPr>
            <w:r>
              <w:rPr>
                <w:rFonts w:ascii="仿宋_GB2312" w:hAnsi="仿宋_GB2312" w:cs="仿宋_GB2312" w:eastAsia="仿宋_GB2312"/>
                <w:sz w:val="21"/>
              </w:rPr>
              <w:t>单条记录接口平均响应时间：</w:t>
            </w:r>
            <w:r>
              <w:rPr>
                <w:rFonts w:ascii="仿宋_GB2312" w:hAnsi="仿宋_GB2312" w:cs="仿宋_GB2312" w:eastAsia="仿宋_GB2312"/>
                <w:sz w:val="21"/>
              </w:rPr>
              <w:t>1秒；</w:t>
            </w:r>
          </w:p>
          <w:p>
            <w:pPr>
              <w:pStyle w:val="null3"/>
              <w:jc w:val="both"/>
            </w:pPr>
            <w:r>
              <w:rPr>
                <w:rFonts w:ascii="仿宋_GB2312" w:hAnsi="仿宋_GB2312" w:cs="仿宋_GB2312" w:eastAsia="仿宋_GB2312"/>
                <w:sz w:val="21"/>
              </w:rPr>
              <w:t>多条记录接口平均响应时间：</w:t>
            </w:r>
            <w:r>
              <w:rPr>
                <w:rFonts w:ascii="仿宋_GB2312" w:hAnsi="仿宋_GB2312" w:cs="仿宋_GB2312" w:eastAsia="仿宋_GB2312"/>
                <w:sz w:val="21"/>
              </w:rPr>
              <w:t>3秒。</w:t>
            </w:r>
          </w:p>
          <w:p>
            <w:pPr>
              <w:pStyle w:val="null3"/>
              <w:jc w:val="both"/>
            </w:pPr>
            <w:r>
              <w:rPr>
                <w:rFonts w:ascii="仿宋_GB2312" w:hAnsi="仿宋_GB2312" w:cs="仿宋_GB2312" w:eastAsia="仿宋_GB2312"/>
                <w:sz w:val="21"/>
              </w:rPr>
              <w:t>4）大数据量、批处理业务</w:t>
            </w:r>
          </w:p>
          <w:p>
            <w:pPr>
              <w:pStyle w:val="null3"/>
              <w:jc w:val="both"/>
            </w:pPr>
            <w:r>
              <w:rPr>
                <w:rFonts w:ascii="仿宋_GB2312" w:hAnsi="仿宋_GB2312" w:cs="仿宋_GB2312" w:eastAsia="仿宋_GB2312"/>
                <w:sz w:val="21"/>
              </w:rPr>
              <w:t>由于批量业务的数据量不确定，需要根据具体的情况确定响应时间。该类业务具有处理复杂、操作数据量大、处理时间长的特点，具体的响应时间视提交数据量、业务处理量而定。</w:t>
            </w:r>
          </w:p>
          <w:p>
            <w:pPr>
              <w:pStyle w:val="null3"/>
              <w:jc w:val="both"/>
            </w:pPr>
            <w:r>
              <w:rPr>
                <w:rFonts w:ascii="仿宋_GB2312" w:hAnsi="仿宋_GB2312" w:cs="仿宋_GB2312" w:eastAsia="仿宋_GB2312"/>
                <w:sz w:val="21"/>
              </w:rPr>
              <w:t>3.资源需求分析</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1）需求概述</w:t>
            </w:r>
          </w:p>
          <w:p>
            <w:pPr>
              <w:pStyle w:val="null3"/>
              <w:jc w:val="both"/>
            </w:pPr>
            <w:r>
              <w:rPr>
                <w:rFonts w:ascii="仿宋_GB2312" w:hAnsi="仿宋_GB2312" w:cs="仿宋_GB2312" w:eastAsia="仿宋_GB2312"/>
                <w:sz w:val="21"/>
              </w:rPr>
              <w:t>本项目基础资源平台由计算服务、存储服务、网络服务、数据服务组成，以上部署在秦岭云平台，由秦岭云平台提供基础资源。应用服务在本项目中实施。</w:t>
            </w:r>
          </w:p>
          <w:p>
            <w:pPr>
              <w:pStyle w:val="null3"/>
              <w:jc w:val="both"/>
            </w:pPr>
            <w:r>
              <w:rPr>
                <w:rFonts w:ascii="仿宋_GB2312" w:hAnsi="仿宋_GB2312" w:cs="仿宋_GB2312" w:eastAsia="仿宋_GB2312"/>
                <w:sz w:val="21"/>
              </w:rPr>
              <w:t>基础资源平台具体包括：</w:t>
            </w:r>
          </w:p>
          <w:p>
            <w:pPr>
              <w:pStyle w:val="null3"/>
              <w:jc w:val="both"/>
            </w:pPr>
            <w:r>
              <w:rPr>
                <w:rFonts w:ascii="仿宋_GB2312" w:hAnsi="仿宋_GB2312" w:cs="仿宋_GB2312" w:eastAsia="仿宋_GB2312"/>
                <w:sz w:val="21"/>
              </w:rPr>
              <w:t>1）计算服务：虚拟机、内存、操作系统；</w:t>
            </w:r>
          </w:p>
          <w:p>
            <w:pPr>
              <w:pStyle w:val="null3"/>
              <w:jc w:val="both"/>
            </w:pPr>
            <w:r>
              <w:rPr>
                <w:rFonts w:ascii="仿宋_GB2312" w:hAnsi="仿宋_GB2312" w:cs="仿宋_GB2312" w:eastAsia="仿宋_GB2312"/>
                <w:sz w:val="21"/>
              </w:rPr>
              <w:t>2）存储服务：块存储、文件存储、对象存储；</w:t>
            </w:r>
          </w:p>
          <w:p>
            <w:pPr>
              <w:pStyle w:val="null3"/>
              <w:jc w:val="both"/>
            </w:pPr>
            <w:r>
              <w:rPr>
                <w:rFonts w:ascii="仿宋_GB2312" w:hAnsi="仿宋_GB2312" w:cs="仿宋_GB2312" w:eastAsia="仿宋_GB2312"/>
                <w:sz w:val="21"/>
              </w:rPr>
              <w:t>3）网络服务：公网IP、专线、CDN、负载均衡、SSL证书；</w:t>
            </w:r>
          </w:p>
          <w:p>
            <w:pPr>
              <w:pStyle w:val="null3"/>
              <w:jc w:val="both"/>
            </w:pPr>
            <w:r>
              <w:rPr>
                <w:rFonts w:ascii="仿宋_GB2312" w:hAnsi="仿宋_GB2312" w:cs="仿宋_GB2312" w:eastAsia="仿宋_GB2312"/>
                <w:sz w:val="21"/>
              </w:rPr>
              <w:t>4）数据服务：数据库；</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2）计算资源需求</w:t>
            </w:r>
          </w:p>
          <w:p>
            <w:pPr>
              <w:pStyle w:val="null3"/>
              <w:jc w:val="both"/>
            </w:pPr>
            <w:r>
              <w:rPr>
                <w:rFonts w:ascii="仿宋_GB2312" w:hAnsi="仿宋_GB2312" w:cs="仿宋_GB2312" w:eastAsia="仿宋_GB2312"/>
                <w:sz w:val="21"/>
              </w:rPr>
              <w:t>支持提供云非编，支持视频剪辑、视频转码、视频合成等服务的</w:t>
            </w:r>
            <w:r>
              <w:rPr>
                <w:rFonts w:ascii="仿宋_GB2312" w:hAnsi="仿宋_GB2312" w:cs="仿宋_GB2312" w:eastAsia="仿宋_GB2312"/>
                <w:sz w:val="21"/>
              </w:rPr>
              <w:t>GPU加速，可按照业务并发量提供资源；</w:t>
            </w:r>
          </w:p>
          <w:p>
            <w:pPr>
              <w:pStyle w:val="null3"/>
              <w:jc w:val="both"/>
            </w:pPr>
            <w:r>
              <w:rPr>
                <w:rFonts w:ascii="仿宋_GB2312" w:hAnsi="仿宋_GB2312" w:cs="仿宋_GB2312" w:eastAsia="仿宋_GB2312"/>
                <w:sz w:val="21"/>
              </w:rPr>
              <w:t>支持提供通用计算能力资源池，支持资源弹性伸缩，满足融媒体中心所有业务运行的承载能力。</w:t>
            </w:r>
          </w:p>
          <w:p>
            <w:pPr>
              <w:pStyle w:val="null3"/>
              <w:jc w:val="both"/>
            </w:pPr>
            <w:r>
              <w:rPr>
                <w:rFonts w:ascii="仿宋_GB2312" w:hAnsi="仿宋_GB2312" w:cs="仿宋_GB2312" w:eastAsia="仿宋_GB2312"/>
                <w:sz w:val="21"/>
              </w:rPr>
              <w:t>1）计算虚拟化要求</w:t>
            </w:r>
          </w:p>
          <w:p>
            <w:pPr>
              <w:pStyle w:val="null3"/>
              <w:jc w:val="both"/>
            </w:pPr>
            <w:r>
              <w:rPr>
                <w:rFonts w:ascii="仿宋_GB2312" w:hAnsi="仿宋_GB2312" w:cs="仿宋_GB2312" w:eastAsia="仿宋_GB2312"/>
                <w:sz w:val="21"/>
              </w:rPr>
              <w:t>虚拟云主机是平台对外提供的重要服务，虚拟云主机采用计算虚拟化技术实现，虚拟化技术是实现高可用、弹性扩展计算平台的技术基础。</w:t>
            </w:r>
          </w:p>
          <w:p>
            <w:pPr>
              <w:pStyle w:val="null3"/>
              <w:jc w:val="both"/>
            </w:pPr>
            <w:r>
              <w:rPr>
                <w:rFonts w:ascii="仿宋_GB2312" w:hAnsi="仿宋_GB2312" w:cs="仿宋_GB2312" w:eastAsia="仿宋_GB2312"/>
                <w:sz w:val="21"/>
              </w:rPr>
              <w:t>计算资源类型要求</w:t>
            </w:r>
          </w:p>
          <w:p>
            <w:pPr>
              <w:pStyle w:val="null3"/>
              <w:jc w:val="both"/>
            </w:pPr>
            <w:r>
              <w:rPr>
                <w:rFonts w:ascii="仿宋_GB2312" w:hAnsi="仿宋_GB2312" w:cs="仿宋_GB2312" w:eastAsia="仿宋_GB2312"/>
                <w:sz w:val="21"/>
              </w:rPr>
              <w:t>支持构建基于复杂指令集和精简指令集架构的计算资源池，并能够以实体机、虚拟机、容器等多种形态对上层提供计算能力，能够差异化提供不同配置的计算资源并与上层业务的多种配置规格需求适配。支持构建</w:t>
            </w:r>
            <w:r>
              <w:rPr>
                <w:rFonts w:ascii="仿宋_GB2312" w:hAnsi="仿宋_GB2312" w:cs="仿宋_GB2312" w:eastAsia="仿宋_GB2312"/>
                <w:sz w:val="21"/>
              </w:rPr>
              <w:t>GPU资源池，实现GPU资源在转码、合成等多种业务场景间的灵活调度，实现对上层音视频编辑制作工具提供类似于传统非编站点般的内容编辑制作体验。</w:t>
            </w:r>
          </w:p>
          <w:tbl>
            <w:tblPr>
              <w:tblBorders>
                <w:top w:val="none" w:color="000000" w:sz="4"/>
                <w:left w:val="none" w:color="000000" w:sz="4"/>
                <w:bottom w:val="none" w:color="000000" w:sz="4"/>
                <w:right w:val="none" w:color="000000" w:sz="4"/>
                <w:insideH w:val="none"/>
                <w:insideV w:val="none"/>
              </w:tblBorders>
            </w:tblPr>
            <w:tblGrid>
              <w:gridCol w:w="479"/>
              <w:gridCol w:w="1020"/>
              <w:gridCol w:w="1054"/>
            </w:tblGrid>
            <w:tr>
              <w:tc>
                <w:tcPr>
                  <w:tcW w:type="dxa" w:w="4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分类</w:t>
                  </w:r>
                </w:p>
              </w:tc>
              <w:tc>
                <w:tcPr>
                  <w:tcW w:type="dxa" w:w="10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特点</w:t>
                  </w:r>
                </w:p>
              </w:tc>
              <w:tc>
                <w:tcPr>
                  <w:tcW w:type="dxa" w:w="10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应用场景</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通用计算型</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CPU/内存比为1：2或1:4</w:t>
                  </w:r>
                </w:p>
                <w:p>
                  <w:pPr>
                    <w:pStyle w:val="null3"/>
                    <w:jc w:val="both"/>
                  </w:pPr>
                  <w:r>
                    <w:rPr>
                      <w:rFonts w:ascii="仿宋_GB2312" w:hAnsi="仿宋_GB2312" w:cs="仿宋_GB2312" w:eastAsia="仿宋_GB2312"/>
                      <w:sz w:val="21"/>
                    </w:rPr>
                    <w:t>典型配置为：</w:t>
                  </w:r>
                </w:p>
                <w:p>
                  <w:pPr>
                    <w:pStyle w:val="null3"/>
                    <w:jc w:val="both"/>
                  </w:pPr>
                  <w:r>
                    <w:rPr>
                      <w:rFonts w:ascii="仿宋_GB2312" w:hAnsi="仿宋_GB2312" w:cs="仿宋_GB2312" w:eastAsia="仿宋_GB2312"/>
                      <w:sz w:val="21"/>
                    </w:rPr>
                    <w:t>8vCPU/16GB内存</w:t>
                  </w:r>
                </w:p>
                <w:p>
                  <w:pPr>
                    <w:pStyle w:val="null3"/>
                    <w:jc w:val="both"/>
                  </w:pPr>
                  <w:r>
                    <w:rPr>
                      <w:rFonts w:ascii="仿宋_GB2312" w:hAnsi="仿宋_GB2312" w:cs="仿宋_GB2312" w:eastAsia="仿宋_GB2312"/>
                      <w:sz w:val="21"/>
                    </w:rPr>
                    <w:t>8vCPU/32GB内存</w:t>
                  </w:r>
                </w:p>
              </w:tc>
              <w:tc>
                <w:tcPr>
                  <w:tcW w:type="dxa" w:w="1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计算类型应用或高并发应用，对计算内存要求较高的服务，例如：内容管理服务、数据库服务等；</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GPU计算型</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CPU/内存/GPU比为1：2：1</w:t>
                  </w:r>
                </w:p>
                <w:p>
                  <w:pPr>
                    <w:pStyle w:val="null3"/>
                    <w:jc w:val="both"/>
                  </w:pPr>
                  <w:r>
                    <w:rPr>
                      <w:rFonts w:ascii="仿宋_GB2312" w:hAnsi="仿宋_GB2312" w:cs="仿宋_GB2312" w:eastAsia="仿宋_GB2312"/>
                      <w:sz w:val="21"/>
                    </w:rPr>
                    <w:t>典型配置为：</w:t>
                  </w:r>
                </w:p>
                <w:p>
                  <w:pPr>
                    <w:pStyle w:val="null3"/>
                    <w:jc w:val="both"/>
                  </w:pPr>
                  <w:r>
                    <w:rPr>
                      <w:rFonts w:ascii="仿宋_GB2312" w:hAnsi="仿宋_GB2312" w:cs="仿宋_GB2312" w:eastAsia="仿宋_GB2312"/>
                      <w:sz w:val="21"/>
                    </w:rPr>
                    <w:t>8vCPU/16GB内存/8vGPU</w:t>
                  </w:r>
                </w:p>
              </w:tc>
              <w:tc>
                <w:tcPr>
                  <w:tcW w:type="dxa" w:w="1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GPU计算型主要应用于高清编辑、转码、合成、AI人工智能应用等；</w:t>
                  </w:r>
                </w:p>
              </w:tc>
            </w:tr>
          </w:tbl>
          <w:p>
            <w:pPr>
              <w:pStyle w:val="null3"/>
              <w:jc w:val="both"/>
            </w:pPr>
            <w:r>
              <w:rPr>
                <w:rFonts w:ascii="仿宋_GB2312" w:hAnsi="仿宋_GB2312" w:cs="仿宋_GB2312" w:eastAsia="仿宋_GB2312"/>
                <w:sz w:val="21"/>
              </w:rPr>
              <w:t>计算资源规划</w:t>
            </w:r>
          </w:p>
          <w:p>
            <w:pPr>
              <w:pStyle w:val="null3"/>
              <w:jc w:val="both"/>
            </w:pPr>
            <w:r>
              <w:rPr>
                <w:rFonts w:ascii="仿宋_GB2312" w:hAnsi="仿宋_GB2312" w:cs="仿宋_GB2312" w:eastAsia="仿宋_GB2312"/>
                <w:sz w:val="21"/>
              </w:rPr>
              <w:t>本项目计算资源规划按业务所需虚拟机汇总资源进行核算，业务资源需求如下表：</w:t>
            </w:r>
          </w:p>
          <w:p>
            <w:pPr>
              <w:pStyle w:val="null3"/>
              <w:jc w:val="both"/>
            </w:pPr>
            <w:r>
              <w:rPr>
                <w:rFonts w:ascii="仿宋_GB2312" w:hAnsi="仿宋_GB2312" w:cs="仿宋_GB2312" w:eastAsia="仿宋_GB2312"/>
                <w:sz w:val="21"/>
              </w:rPr>
              <w:t>本次项目按照初期</w:t>
            </w:r>
            <w:r>
              <w:rPr>
                <w:rFonts w:ascii="仿宋_GB2312" w:hAnsi="仿宋_GB2312" w:cs="仿宋_GB2312" w:eastAsia="仿宋_GB2312"/>
                <w:sz w:val="21"/>
              </w:rPr>
              <w:t>50万用户、500并发进行设计，支持随着用户规模扩大及业务增长对计算资源进行横向扩容。</w:t>
            </w:r>
          </w:p>
          <w:p>
            <w:pPr>
              <w:pStyle w:val="null3"/>
              <w:jc w:val="both"/>
            </w:pPr>
            <w:r>
              <w:rPr>
                <w:rFonts w:ascii="仿宋_GB2312" w:hAnsi="仿宋_GB2312" w:cs="仿宋_GB2312" w:eastAsia="仿宋_GB2312"/>
                <w:sz w:val="21"/>
              </w:rPr>
              <w:t>虚拟资源合计：虚拟机</w:t>
            </w:r>
            <w:r>
              <w:rPr>
                <w:rFonts w:ascii="仿宋_GB2312" w:hAnsi="仿宋_GB2312" w:cs="仿宋_GB2312" w:eastAsia="仿宋_GB2312"/>
                <w:sz w:val="21"/>
              </w:rPr>
              <w:t>17台，vCPU 212C，内存456G，存储3400G；</w:t>
            </w:r>
          </w:p>
          <w:tbl>
            <w:tblPr>
              <w:tblInd w:type="dxa" w:w="60"/>
              <w:tblBorders>
                <w:top w:val="none" w:color="000000" w:sz="4"/>
                <w:left w:val="none" w:color="000000" w:sz="4"/>
                <w:bottom w:val="none" w:color="000000" w:sz="4"/>
                <w:right w:val="none" w:color="000000" w:sz="4"/>
                <w:insideH w:val="none"/>
                <w:insideV w:val="none"/>
              </w:tblBorders>
            </w:tblPr>
            <w:tblGrid>
              <w:gridCol w:w="833"/>
              <w:gridCol w:w="1163"/>
              <w:gridCol w:w="397"/>
              <w:gridCol w:w="635"/>
              <w:gridCol w:w="788"/>
            </w:tblGrid>
            <w:tr>
              <w:tc>
                <w:tcPr>
                  <w:tcW w:type="dxa" w:w="3816"/>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渭南市级融媒体平台（由秦岭云提供）</w:t>
                  </w:r>
                </w:p>
              </w:tc>
            </w:tr>
            <w:tr>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资源名称</w:t>
                  </w:r>
                </w:p>
              </w:tc>
              <w:tc>
                <w:tcPr>
                  <w:tcW w:type="dxa" w:w="11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资源指标</w:t>
                  </w:r>
                </w:p>
              </w:tc>
              <w:tc>
                <w:tcPr>
                  <w:tcW w:type="dxa" w:w="3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单位</w:t>
                  </w:r>
                </w:p>
              </w:tc>
              <w:tc>
                <w:tcPr>
                  <w:tcW w:type="dxa" w:w="6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数量</w:t>
                  </w:r>
                </w:p>
              </w:tc>
              <w:tc>
                <w:tcPr>
                  <w:tcW w:type="dxa" w:w="7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备注</w:t>
                  </w:r>
                </w:p>
              </w:tc>
            </w:tr>
            <w:tr>
              <w:tc>
                <w:tcPr>
                  <w:tcW w:type="dxa" w:w="8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基础资源服务器</w:t>
                  </w:r>
                </w:p>
              </w:tc>
              <w:tc>
                <w:tcPr>
                  <w:tcW w:type="dxa" w:w="1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vCPU：4 vCPU；</w:t>
                  </w:r>
                </w:p>
              </w:tc>
              <w:tc>
                <w:tcPr>
                  <w:tcW w:type="dxa" w:w="39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c>
                <w:tcPr>
                  <w:tcW w:type="dxa" w:w="63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p>
              </w:tc>
              <w:tc>
                <w:tcPr>
                  <w:tcW w:type="dxa" w:w="7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部署媒体容器云平台、中间件</w:t>
                  </w:r>
                </w:p>
              </w:tc>
            </w:tr>
            <w:tr>
              <w:tc>
                <w:tcPr>
                  <w:tcW w:type="dxa" w:w="833"/>
                  <w:vMerge/>
                  <w:tcBorders>
                    <w:top w:val="none" w:color="000000" w:sz="4"/>
                    <w:left w:val="single" w:color="000000" w:sz="4"/>
                    <w:bottom w:val="single" w:color="000000" w:sz="4"/>
                    <w:right w:val="single" w:color="000000" w:sz="4"/>
                  </w:tcBorders>
                </w:tcPr>
                <w:p/>
              </w:tc>
              <w:tc>
                <w:tcPr>
                  <w:tcW w:type="dxa" w:w="1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内存：</w:t>
                  </w:r>
                  <w:r>
                    <w:rPr>
                      <w:rFonts w:ascii="仿宋_GB2312" w:hAnsi="仿宋_GB2312" w:cs="仿宋_GB2312" w:eastAsia="仿宋_GB2312"/>
                      <w:sz w:val="21"/>
                    </w:rPr>
                    <w:t>8 GB；</w:t>
                  </w:r>
                </w:p>
              </w:tc>
              <w:tc>
                <w:tcPr>
                  <w:tcW w:type="dxa" w:w="397"/>
                  <w:vMerge/>
                  <w:tcBorders>
                    <w:top w:val="none" w:color="000000" w:sz="4"/>
                    <w:left w:val="single" w:color="000000" w:sz="4"/>
                    <w:bottom w:val="single" w:color="000000" w:sz="4"/>
                    <w:right w:val="single" w:color="000000" w:sz="4"/>
                  </w:tcBorders>
                </w:tcPr>
                <w:p/>
              </w:tc>
              <w:tc>
                <w:tcPr>
                  <w:tcW w:type="dxa" w:w="635"/>
                  <w:vMerge/>
                  <w:tcBorders>
                    <w:top w:val="none" w:color="000000" w:sz="4"/>
                    <w:left w:val="single" w:color="000000" w:sz="4"/>
                    <w:bottom w:val="single" w:color="000000" w:sz="4"/>
                    <w:right w:val="single" w:color="000000" w:sz="4"/>
                  </w:tcBorders>
                </w:tcPr>
                <w:p/>
              </w:tc>
              <w:tc>
                <w:tcPr>
                  <w:tcW w:type="dxa" w:w="788"/>
                  <w:vMerge/>
                  <w:tcBorders>
                    <w:top w:val="none" w:color="000000" w:sz="4"/>
                    <w:left w:val="single" w:color="000000" w:sz="4"/>
                    <w:bottom w:val="single" w:color="000000" w:sz="4"/>
                    <w:right w:val="single" w:color="000000" w:sz="4"/>
                  </w:tcBorders>
                </w:tcPr>
                <w:p/>
              </w:tc>
            </w:tr>
            <w:tr>
              <w:tc>
                <w:tcPr>
                  <w:tcW w:type="dxa" w:w="833"/>
                  <w:vMerge/>
                  <w:tcBorders>
                    <w:top w:val="none" w:color="000000" w:sz="4"/>
                    <w:left w:val="single" w:color="000000" w:sz="4"/>
                    <w:bottom w:val="single" w:color="000000" w:sz="4"/>
                    <w:right w:val="single" w:color="000000" w:sz="4"/>
                  </w:tcBorders>
                </w:tcPr>
                <w:p/>
              </w:tc>
              <w:tc>
                <w:tcPr>
                  <w:tcW w:type="dxa" w:w="1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系统盘：</w:t>
                  </w:r>
                  <w:r>
                    <w:rPr>
                      <w:rFonts w:ascii="仿宋_GB2312" w:hAnsi="仿宋_GB2312" w:cs="仿宋_GB2312" w:eastAsia="仿宋_GB2312"/>
                      <w:sz w:val="21"/>
                    </w:rPr>
                    <w:t>200GB；</w:t>
                  </w:r>
                </w:p>
              </w:tc>
              <w:tc>
                <w:tcPr>
                  <w:tcW w:type="dxa" w:w="397"/>
                  <w:vMerge/>
                  <w:tcBorders>
                    <w:top w:val="none" w:color="000000" w:sz="4"/>
                    <w:left w:val="single" w:color="000000" w:sz="4"/>
                    <w:bottom w:val="single" w:color="000000" w:sz="4"/>
                    <w:right w:val="single" w:color="000000" w:sz="4"/>
                  </w:tcBorders>
                </w:tcPr>
                <w:p/>
              </w:tc>
              <w:tc>
                <w:tcPr>
                  <w:tcW w:type="dxa" w:w="635"/>
                  <w:vMerge/>
                  <w:tcBorders>
                    <w:top w:val="none" w:color="000000" w:sz="4"/>
                    <w:left w:val="single" w:color="000000" w:sz="4"/>
                    <w:bottom w:val="single" w:color="000000" w:sz="4"/>
                    <w:right w:val="single" w:color="000000" w:sz="4"/>
                  </w:tcBorders>
                </w:tcPr>
                <w:p/>
              </w:tc>
              <w:tc>
                <w:tcPr>
                  <w:tcW w:type="dxa" w:w="788"/>
                  <w:vMerge/>
                  <w:tcBorders>
                    <w:top w:val="none" w:color="000000" w:sz="4"/>
                    <w:left w:val="single" w:color="000000" w:sz="4"/>
                    <w:bottom w:val="single" w:color="000000" w:sz="4"/>
                    <w:right w:val="single" w:color="000000" w:sz="4"/>
                  </w:tcBorders>
                </w:tcPr>
                <w:p/>
              </w:tc>
            </w:tr>
            <w:tr>
              <w:tc>
                <w:tcPr>
                  <w:tcW w:type="dxa" w:w="8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中间件服务器</w:t>
                  </w:r>
                </w:p>
              </w:tc>
              <w:tc>
                <w:tcPr>
                  <w:tcW w:type="dxa" w:w="1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vCPU：8 vCPU；</w:t>
                  </w:r>
                </w:p>
              </w:tc>
              <w:tc>
                <w:tcPr>
                  <w:tcW w:type="dxa" w:w="39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c>
                <w:tcPr>
                  <w:tcW w:type="dxa" w:w="63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7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部署中间件</w:t>
                  </w:r>
                </w:p>
              </w:tc>
            </w:tr>
            <w:tr>
              <w:tc>
                <w:tcPr>
                  <w:tcW w:type="dxa" w:w="833"/>
                  <w:vMerge/>
                  <w:tcBorders>
                    <w:top w:val="none" w:color="000000" w:sz="4"/>
                    <w:left w:val="single" w:color="000000" w:sz="4"/>
                    <w:bottom w:val="single" w:color="000000" w:sz="4"/>
                    <w:right w:val="single" w:color="000000" w:sz="4"/>
                  </w:tcBorders>
                </w:tcPr>
                <w:p/>
              </w:tc>
              <w:tc>
                <w:tcPr>
                  <w:tcW w:type="dxa" w:w="1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内存：</w:t>
                  </w:r>
                  <w:r>
                    <w:rPr>
                      <w:rFonts w:ascii="仿宋_GB2312" w:hAnsi="仿宋_GB2312" w:cs="仿宋_GB2312" w:eastAsia="仿宋_GB2312"/>
                      <w:sz w:val="21"/>
                    </w:rPr>
                    <w:t>16 GB；</w:t>
                  </w:r>
                </w:p>
              </w:tc>
              <w:tc>
                <w:tcPr>
                  <w:tcW w:type="dxa" w:w="397"/>
                  <w:vMerge/>
                  <w:tcBorders>
                    <w:top w:val="none" w:color="000000" w:sz="4"/>
                    <w:left w:val="single" w:color="000000" w:sz="4"/>
                    <w:bottom w:val="single" w:color="000000" w:sz="4"/>
                    <w:right w:val="single" w:color="000000" w:sz="4"/>
                  </w:tcBorders>
                </w:tcPr>
                <w:p/>
              </w:tc>
              <w:tc>
                <w:tcPr>
                  <w:tcW w:type="dxa" w:w="635"/>
                  <w:vMerge/>
                  <w:tcBorders>
                    <w:top w:val="none" w:color="000000" w:sz="4"/>
                    <w:left w:val="single" w:color="000000" w:sz="4"/>
                    <w:bottom w:val="single" w:color="000000" w:sz="4"/>
                    <w:right w:val="single" w:color="000000" w:sz="4"/>
                  </w:tcBorders>
                </w:tcPr>
                <w:p/>
              </w:tc>
              <w:tc>
                <w:tcPr>
                  <w:tcW w:type="dxa" w:w="788"/>
                  <w:vMerge/>
                  <w:tcBorders>
                    <w:top w:val="none" w:color="000000" w:sz="4"/>
                    <w:left w:val="single" w:color="000000" w:sz="4"/>
                    <w:bottom w:val="single" w:color="000000" w:sz="4"/>
                    <w:right w:val="single" w:color="000000" w:sz="4"/>
                  </w:tcBorders>
                </w:tcPr>
                <w:p/>
              </w:tc>
            </w:tr>
            <w:tr>
              <w:tc>
                <w:tcPr>
                  <w:tcW w:type="dxa" w:w="833"/>
                  <w:vMerge/>
                  <w:tcBorders>
                    <w:top w:val="none" w:color="000000" w:sz="4"/>
                    <w:left w:val="single" w:color="000000" w:sz="4"/>
                    <w:bottom w:val="single" w:color="000000" w:sz="4"/>
                    <w:right w:val="single" w:color="000000" w:sz="4"/>
                  </w:tcBorders>
                </w:tcPr>
                <w:p/>
              </w:tc>
              <w:tc>
                <w:tcPr>
                  <w:tcW w:type="dxa" w:w="1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系统盘：</w:t>
                  </w:r>
                  <w:r>
                    <w:rPr>
                      <w:rFonts w:ascii="仿宋_GB2312" w:hAnsi="仿宋_GB2312" w:cs="仿宋_GB2312" w:eastAsia="仿宋_GB2312"/>
                      <w:sz w:val="21"/>
                    </w:rPr>
                    <w:t>200GB；</w:t>
                  </w:r>
                </w:p>
              </w:tc>
              <w:tc>
                <w:tcPr>
                  <w:tcW w:type="dxa" w:w="397"/>
                  <w:vMerge/>
                  <w:tcBorders>
                    <w:top w:val="none" w:color="000000" w:sz="4"/>
                    <w:left w:val="single" w:color="000000" w:sz="4"/>
                    <w:bottom w:val="single" w:color="000000" w:sz="4"/>
                    <w:right w:val="single" w:color="000000" w:sz="4"/>
                  </w:tcBorders>
                </w:tcPr>
                <w:p/>
              </w:tc>
              <w:tc>
                <w:tcPr>
                  <w:tcW w:type="dxa" w:w="635"/>
                  <w:vMerge/>
                  <w:tcBorders>
                    <w:top w:val="none" w:color="000000" w:sz="4"/>
                    <w:left w:val="single" w:color="000000" w:sz="4"/>
                    <w:bottom w:val="single" w:color="000000" w:sz="4"/>
                    <w:right w:val="single" w:color="000000" w:sz="4"/>
                  </w:tcBorders>
                </w:tcPr>
                <w:p/>
              </w:tc>
              <w:tc>
                <w:tcPr>
                  <w:tcW w:type="dxa" w:w="788"/>
                  <w:vMerge/>
                  <w:tcBorders>
                    <w:top w:val="none" w:color="000000" w:sz="4"/>
                    <w:left w:val="single" w:color="000000" w:sz="4"/>
                    <w:bottom w:val="single" w:color="000000" w:sz="4"/>
                    <w:right w:val="single" w:color="000000" w:sz="4"/>
                  </w:tcBorders>
                </w:tcPr>
                <w:p/>
              </w:tc>
            </w:tr>
            <w:tr>
              <w:tc>
                <w:tcPr>
                  <w:tcW w:type="dxa" w:w="8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数据库服务器</w:t>
                  </w:r>
                </w:p>
              </w:tc>
              <w:tc>
                <w:tcPr>
                  <w:tcW w:type="dxa" w:w="1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vCPU：8 vCPU；</w:t>
                  </w:r>
                </w:p>
              </w:tc>
              <w:tc>
                <w:tcPr>
                  <w:tcW w:type="dxa" w:w="39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c>
                <w:tcPr>
                  <w:tcW w:type="dxa" w:w="63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7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部署数据库</w:t>
                  </w:r>
                </w:p>
              </w:tc>
            </w:tr>
            <w:tr>
              <w:tc>
                <w:tcPr>
                  <w:tcW w:type="dxa" w:w="833"/>
                  <w:vMerge/>
                  <w:tcBorders>
                    <w:top w:val="none" w:color="000000" w:sz="4"/>
                    <w:left w:val="single" w:color="000000" w:sz="4"/>
                    <w:bottom w:val="single" w:color="000000" w:sz="4"/>
                    <w:right w:val="single" w:color="000000" w:sz="4"/>
                  </w:tcBorders>
                </w:tcPr>
                <w:p/>
              </w:tc>
              <w:tc>
                <w:tcPr>
                  <w:tcW w:type="dxa" w:w="1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内存：</w:t>
                  </w:r>
                  <w:r>
                    <w:rPr>
                      <w:rFonts w:ascii="仿宋_GB2312" w:hAnsi="仿宋_GB2312" w:cs="仿宋_GB2312" w:eastAsia="仿宋_GB2312"/>
                      <w:sz w:val="21"/>
                    </w:rPr>
                    <w:t>32 GB；</w:t>
                  </w:r>
                </w:p>
              </w:tc>
              <w:tc>
                <w:tcPr>
                  <w:tcW w:type="dxa" w:w="397"/>
                  <w:vMerge/>
                  <w:tcBorders>
                    <w:top w:val="none" w:color="000000" w:sz="4"/>
                    <w:left w:val="single" w:color="000000" w:sz="4"/>
                    <w:bottom w:val="single" w:color="000000" w:sz="4"/>
                    <w:right w:val="single" w:color="000000" w:sz="4"/>
                  </w:tcBorders>
                </w:tcPr>
                <w:p/>
              </w:tc>
              <w:tc>
                <w:tcPr>
                  <w:tcW w:type="dxa" w:w="635"/>
                  <w:vMerge/>
                  <w:tcBorders>
                    <w:top w:val="none" w:color="000000" w:sz="4"/>
                    <w:left w:val="single" w:color="000000" w:sz="4"/>
                    <w:bottom w:val="single" w:color="000000" w:sz="4"/>
                    <w:right w:val="single" w:color="000000" w:sz="4"/>
                  </w:tcBorders>
                </w:tcPr>
                <w:p/>
              </w:tc>
              <w:tc>
                <w:tcPr>
                  <w:tcW w:type="dxa" w:w="788"/>
                  <w:vMerge/>
                  <w:tcBorders>
                    <w:top w:val="none" w:color="000000" w:sz="4"/>
                    <w:left w:val="single" w:color="000000" w:sz="4"/>
                    <w:bottom w:val="single" w:color="000000" w:sz="4"/>
                    <w:right w:val="single" w:color="000000" w:sz="4"/>
                  </w:tcBorders>
                </w:tcPr>
                <w:p/>
              </w:tc>
            </w:tr>
            <w:tr>
              <w:tc>
                <w:tcPr>
                  <w:tcW w:type="dxa" w:w="833"/>
                  <w:vMerge/>
                  <w:tcBorders>
                    <w:top w:val="none" w:color="000000" w:sz="4"/>
                    <w:left w:val="single" w:color="000000" w:sz="4"/>
                    <w:bottom w:val="single" w:color="000000" w:sz="4"/>
                    <w:right w:val="single" w:color="000000" w:sz="4"/>
                  </w:tcBorders>
                </w:tcPr>
                <w:p/>
              </w:tc>
              <w:tc>
                <w:tcPr>
                  <w:tcW w:type="dxa" w:w="1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系统盘：</w:t>
                  </w:r>
                  <w:r>
                    <w:rPr>
                      <w:rFonts w:ascii="仿宋_GB2312" w:hAnsi="仿宋_GB2312" w:cs="仿宋_GB2312" w:eastAsia="仿宋_GB2312"/>
                      <w:sz w:val="21"/>
                    </w:rPr>
                    <w:t>500GB；</w:t>
                  </w:r>
                </w:p>
              </w:tc>
              <w:tc>
                <w:tcPr>
                  <w:tcW w:type="dxa" w:w="397"/>
                  <w:vMerge/>
                  <w:tcBorders>
                    <w:top w:val="none" w:color="000000" w:sz="4"/>
                    <w:left w:val="single" w:color="000000" w:sz="4"/>
                    <w:bottom w:val="single" w:color="000000" w:sz="4"/>
                    <w:right w:val="single" w:color="000000" w:sz="4"/>
                  </w:tcBorders>
                </w:tcPr>
                <w:p/>
              </w:tc>
              <w:tc>
                <w:tcPr>
                  <w:tcW w:type="dxa" w:w="635"/>
                  <w:vMerge/>
                  <w:tcBorders>
                    <w:top w:val="none" w:color="000000" w:sz="4"/>
                    <w:left w:val="single" w:color="000000" w:sz="4"/>
                    <w:bottom w:val="single" w:color="000000" w:sz="4"/>
                    <w:right w:val="single" w:color="000000" w:sz="4"/>
                  </w:tcBorders>
                </w:tcPr>
                <w:p/>
              </w:tc>
              <w:tc>
                <w:tcPr>
                  <w:tcW w:type="dxa" w:w="788"/>
                  <w:vMerge/>
                  <w:tcBorders>
                    <w:top w:val="none" w:color="000000" w:sz="4"/>
                    <w:left w:val="single" w:color="000000" w:sz="4"/>
                    <w:bottom w:val="single" w:color="000000" w:sz="4"/>
                    <w:right w:val="single" w:color="000000" w:sz="4"/>
                  </w:tcBorders>
                </w:tcPr>
                <w:p/>
              </w:tc>
            </w:tr>
            <w:tr>
              <w:tc>
                <w:tcPr>
                  <w:tcW w:type="dxa" w:w="8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业务服务器</w:t>
                  </w:r>
                </w:p>
              </w:tc>
              <w:tc>
                <w:tcPr>
                  <w:tcW w:type="dxa" w:w="1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vCPU：16 vCPU；</w:t>
                  </w:r>
                </w:p>
              </w:tc>
              <w:tc>
                <w:tcPr>
                  <w:tcW w:type="dxa" w:w="39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c>
                <w:tcPr>
                  <w:tcW w:type="dxa" w:w="63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11</w:t>
                  </w:r>
                </w:p>
              </w:tc>
              <w:tc>
                <w:tcPr>
                  <w:tcW w:type="dxa" w:w="7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部署市级融媒体平台业务</w:t>
                  </w:r>
                </w:p>
              </w:tc>
            </w:tr>
            <w:tr>
              <w:tc>
                <w:tcPr>
                  <w:tcW w:type="dxa" w:w="833"/>
                  <w:vMerge/>
                  <w:tcBorders>
                    <w:top w:val="none" w:color="000000" w:sz="4"/>
                    <w:left w:val="single" w:color="000000" w:sz="4"/>
                    <w:bottom w:val="single" w:color="000000" w:sz="4"/>
                    <w:right w:val="single" w:color="000000" w:sz="4"/>
                  </w:tcBorders>
                </w:tcPr>
                <w:p/>
              </w:tc>
              <w:tc>
                <w:tcPr>
                  <w:tcW w:type="dxa" w:w="1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内存：</w:t>
                  </w:r>
                  <w:r>
                    <w:rPr>
                      <w:rFonts w:ascii="仿宋_GB2312" w:hAnsi="仿宋_GB2312" w:cs="仿宋_GB2312" w:eastAsia="仿宋_GB2312"/>
                      <w:sz w:val="21"/>
                    </w:rPr>
                    <w:t>32 GB；</w:t>
                  </w:r>
                </w:p>
              </w:tc>
              <w:tc>
                <w:tcPr>
                  <w:tcW w:type="dxa" w:w="397"/>
                  <w:vMerge/>
                  <w:tcBorders>
                    <w:top w:val="none" w:color="000000" w:sz="4"/>
                    <w:left w:val="single" w:color="000000" w:sz="4"/>
                    <w:bottom w:val="single" w:color="000000" w:sz="4"/>
                    <w:right w:val="single" w:color="000000" w:sz="4"/>
                  </w:tcBorders>
                </w:tcPr>
                <w:p/>
              </w:tc>
              <w:tc>
                <w:tcPr>
                  <w:tcW w:type="dxa" w:w="635"/>
                  <w:vMerge/>
                  <w:tcBorders>
                    <w:top w:val="none" w:color="000000" w:sz="4"/>
                    <w:left w:val="single" w:color="000000" w:sz="4"/>
                    <w:bottom w:val="single" w:color="000000" w:sz="4"/>
                    <w:right w:val="single" w:color="000000" w:sz="4"/>
                  </w:tcBorders>
                </w:tcPr>
                <w:p/>
              </w:tc>
              <w:tc>
                <w:tcPr>
                  <w:tcW w:type="dxa" w:w="788"/>
                  <w:vMerge/>
                  <w:tcBorders>
                    <w:top w:val="none" w:color="000000" w:sz="4"/>
                    <w:left w:val="single" w:color="000000" w:sz="4"/>
                    <w:bottom w:val="single" w:color="000000" w:sz="4"/>
                    <w:right w:val="single" w:color="000000" w:sz="4"/>
                  </w:tcBorders>
                </w:tcPr>
                <w:p/>
              </w:tc>
            </w:tr>
            <w:tr>
              <w:tc>
                <w:tcPr>
                  <w:tcW w:type="dxa" w:w="833"/>
                  <w:vMerge/>
                  <w:tcBorders>
                    <w:top w:val="none" w:color="000000" w:sz="4"/>
                    <w:left w:val="single" w:color="000000" w:sz="4"/>
                    <w:bottom w:val="single" w:color="000000" w:sz="4"/>
                    <w:right w:val="single" w:color="000000" w:sz="4"/>
                  </w:tcBorders>
                </w:tcPr>
                <w:p/>
              </w:tc>
              <w:tc>
                <w:tcPr>
                  <w:tcW w:type="dxa" w:w="1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系统盘：</w:t>
                  </w:r>
                  <w:r>
                    <w:rPr>
                      <w:rFonts w:ascii="仿宋_GB2312" w:hAnsi="仿宋_GB2312" w:cs="仿宋_GB2312" w:eastAsia="仿宋_GB2312"/>
                      <w:sz w:val="21"/>
                    </w:rPr>
                    <w:t>200GB；</w:t>
                  </w:r>
                </w:p>
              </w:tc>
              <w:tc>
                <w:tcPr>
                  <w:tcW w:type="dxa" w:w="397"/>
                  <w:vMerge/>
                  <w:tcBorders>
                    <w:top w:val="none" w:color="000000" w:sz="4"/>
                    <w:left w:val="single" w:color="000000" w:sz="4"/>
                    <w:bottom w:val="single" w:color="000000" w:sz="4"/>
                    <w:right w:val="single" w:color="000000" w:sz="4"/>
                  </w:tcBorders>
                </w:tcPr>
                <w:p/>
              </w:tc>
              <w:tc>
                <w:tcPr>
                  <w:tcW w:type="dxa" w:w="635"/>
                  <w:vMerge/>
                  <w:tcBorders>
                    <w:top w:val="none" w:color="000000" w:sz="4"/>
                    <w:left w:val="single" w:color="000000" w:sz="4"/>
                    <w:bottom w:val="single" w:color="000000" w:sz="4"/>
                    <w:right w:val="single" w:color="000000" w:sz="4"/>
                  </w:tcBorders>
                </w:tcPr>
                <w:p/>
              </w:tc>
              <w:tc>
                <w:tcPr>
                  <w:tcW w:type="dxa" w:w="788"/>
                  <w:vMerge/>
                  <w:tcBorders>
                    <w:top w:val="none" w:color="000000" w:sz="4"/>
                    <w:left w:val="single" w:color="000000" w:sz="4"/>
                    <w:bottom w:val="single" w:color="000000" w:sz="4"/>
                    <w:right w:val="single" w:color="000000" w:sz="4"/>
                  </w:tcBorders>
                </w:tcPr>
                <w:p/>
              </w:tc>
            </w:tr>
          </w:tbl>
          <w:p>
            <w:pPr>
              <w:pStyle w:val="null3"/>
              <w:jc w:val="both"/>
            </w:pPr>
            <w:r>
              <w:rPr>
                <w:rFonts w:ascii="仿宋_GB2312" w:hAnsi="仿宋_GB2312" w:cs="仿宋_GB2312" w:eastAsia="仿宋_GB2312"/>
                <w:sz w:val="21"/>
              </w:rPr>
              <w:t>2）存储资源需求</w:t>
            </w:r>
          </w:p>
          <w:p>
            <w:pPr>
              <w:pStyle w:val="null3"/>
              <w:jc w:val="both"/>
            </w:pPr>
            <w:r>
              <w:rPr>
                <w:rFonts w:ascii="仿宋_GB2312" w:hAnsi="仿宋_GB2312" w:cs="仿宋_GB2312" w:eastAsia="仿宋_GB2312"/>
                <w:sz w:val="21"/>
              </w:rPr>
              <w:t>支持多种存储能力的融合管理，提供统一的对外接口，包括对结构化数据、半结构化数据、非结构化数据的安全存取、访问、管理和服务能力；</w:t>
            </w:r>
          </w:p>
          <w:p>
            <w:pPr>
              <w:pStyle w:val="null3"/>
              <w:jc w:val="both"/>
            </w:pPr>
            <w:r>
              <w:rPr>
                <w:rFonts w:ascii="仿宋_GB2312" w:hAnsi="仿宋_GB2312" w:cs="仿宋_GB2312" w:eastAsia="仿宋_GB2312"/>
                <w:sz w:val="21"/>
              </w:rPr>
              <w:t>存储能力应支持块存储、文件存储、对象存储等通用存储的能力，支撑编辑制作、收录、归档等不同场景下文件的快速存储；</w:t>
            </w:r>
          </w:p>
          <w:p>
            <w:pPr>
              <w:pStyle w:val="null3"/>
              <w:jc w:val="both"/>
            </w:pPr>
            <w:r>
              <w:rPr>
                <w:rFonts w:ascii="仿宋_GB2312" w:hAnsi="仿宋_GB2312" w:cs="仿宋_GB2312" w:eastAsia="仿宋_GB2312"/>
                <w:sz w:val="21"/>
              </w:rPr>
              <w:t>文件存储应支持</w:t>
            </w:r>
            <w:r>
              <w:rPr>
                <w:rFonts w:ascii="仿宋_GB2312" w:hAnsi="仿宋_GB2312" w:cs="仿宋_GB2312" w:eastAsia="仿宋_GB2312"/>
                <w:sz w:val="21"/>
              </w:rPr>
              <w:t>NFS、CIFS等协议，对象存储应支持HTTP、HTTPS等协议。</w:t>
            </w:r>
          </w:p>
          <w:p>
            <w:pPr>
              <w:pStyle w:val="null3"/>
              <w:jc w:val="both"/>
            </w:pPr>
            <w:r>
              <w:rPr>
                <w:rFonts w:ascii="仿宋_GB2312" w:hAnsi="仿宋_GB2312" w:cs="仿宋_GB2312" w:eastAsia="仿宋_GB2312"/>
                <w:sz w:val="21"/>
              </w:rPr>
              <w:t>存储需求</w:t>
            </w:r>
          </w:p>
          <w:p>
            <w:pPr>
              <w:pStyle w:val="null3"/>
              <w:jc w:val="both"/>
            </w:pPr>
            <w:r>
              <w:rPr>
                <w:rFonts w:ascii="仿宋_GB2312" w:hAnsi="仿宋_GB2312" w:cs="仿宋_GB2312" w:eastAsia="仿宋_GB2312"/>
                <w:sz w:val="21"/>
              </w:rPr>
              <w:t>支持块存储资源池、文件存储资源池和对象存储资源池，支持编辑制作、收录、归档等不同场景下文件的快速存储；</w:t>
            </w:r>
          </w:p>
          <w:p>
            <w:pPr>
              <w:pStyle w:val="null3"/>
              <w:jc w:val="both"/>
            </w:pPr>
            <w:r>
              <w:rPr>
                <w:rFonts w:ascii="仿宋_GB2312" w:hAnsi="仿宋_GB2312" w:cs="仿宋_GB2312" w:eastAsia="仿宋_GB2312"/>
                <w:sz w:val="21"/>
              </w:rPr>
              <w:t>存储能力可以动态扩展，扩展过程不影响业务正常使用。</w:t>
            </w:r>
          </w:p>
          <w:p>
            <w:pPr>
              <w:pStyle w:val="null3"/>
              <w:jc w:val="both"/>
            </w:pPr>
            <w:r>
              <w:rPr>
                <w:rFonts w:ascii="仿宋_GB2312" w:hAnsi="仿宋_GB2312" w:cs="仿宋_GB2312" w:eastAsia="仿宋_GB2312"/>
                <w:sz w:val="21"/>
              </w:rPr>
              <w:t>须提供图形化管理界面，以对子系统内之各项软硬件组件进行监控，监控功能应包括状态显示、警示告知、存储设备存取负载监测。</w:t>
            </w:r>
          </w:p>
          <w:p>
            <w:pPr>
              <w:pStyle w:val="null3"/>
              <w:jc w:val="both"/>
            </w:pPr>
            <w:r>
              <w:rPr>
                <w:rFonts w:ascii="仿宋_GB2312" w:hAnsi="仿宋_GB2312" w:cs="仿宋_GB2312" w:eastAsia="仿宋_GB2312"/>
                <w:sz w:val="21"/>
              </w:rPr>
              <w:t>文件存储支持</w:t>
            </w:r>
            <w:r>
              <w:rPr>
                <w:rFonts w:ascii="仿宋_GB2312" w:hAnsi="仿宋_GB2312" w:cs="仿宋_GB2312" w:eastAsia="仿宋_GB2312"/>
                <w:sz w:val="21"/>
              </w:rPr>
              <w:t>NFS、CIFS等协议，对象存储支持HTTP、HTTPS等协议。</w:t>
            </w:r>
          </w:p>
          <w:p>
            <w:pPr>
              <w:pStyle w:val="null3"/>
              <w:jc w:val="both"/>
            </w:pPr>
            <w:r>
              <w:rPr>
                <w:rFonts w:ascii="仿宋_GB2312" w:hAnsi="仿宋_GB2312" w:cs="仿宋_GB2312" w:eastAsia="仿宋_GB2312"/>
                <w:sz w:val="21"/>
              </w:rPr>
              <w:t>存储空间规划</w:t>
            </w:r>
          </w:p>
          <w:p>
            <w:pPr>
              <w:pStyle w:val="null3"/>
              <w:jc w:val="both"/>
            </w:pPr>
            <w:r>
              <w:rPr>
                <w:rFonts w:ascii="仿宋_GB2312" w:hAnsi="仿宋_GB2312" w:cs="仿宋_GB2312" w:eastAsia="仿宋_GB2312"/>
                <w:sz w:val="21"/>
              </w:rPr>
              <w:t>秦岭云平台提供云存储，支持按照融媒体中心存储量的需求动态扩容，本次项目初期配置</w:t>
            </w:r>
            <w:r>
              <w:rPr>
                <w:rFonts w:ascii="仿宋_GB2312" w:hAnsi="仿宋_GB2312" w:cs="仿宋_GB2312" w:eastAsia="仿宋_GB2312"/>
                <w:sz w:val="21"/>
              </w:rPr>
              <w:t>20TB的存储资源空间。</w:t>
            </w:r>
          </w:p>
          <w:p>
            <w:pPr>
              <w:pStyle w:val="null3"/>
              <w:jc w:val="both"/>
            </w:pPr>
            <w:r>
              <w:rPr>
                <w:rFonts w:ascii="仿宋_GB2312" w:hAnsi="仿宋_GB2312" w:cs="仿宋_GB2312" w:eastAsia="仿宋_GB2312"/>
                <w:sz w:val="21"/>
              </w:rPr>
              <w:t>按照每天成品节目</w:t>
            </w:r>
            <w:r>
              <w:rPr>
                <w:rFonts w:ascii="仿宋_GB2312" w:hAnsi="仿宋_GB2312" w:cs="仿宋_GB2312" w:eastAsia="仿宋_GB2312"/>
                <w:sz w:val="21"/>
              </w:rPr>
              <w:t>20条视频100篇稿件，加上2路直播频道的节目收录进行测算。</w:t>
            </w:r>
          </w:p>
          <w:p>
            <w:pPr>
              <w:pStyle w:val="null3"/>
              <w:jc w:val="both"/>
            </w:pPr>
            <w:r>
              <w:rPr>
                <w:rFonts w:ascii="仿宋_GB2312" w:hAnsi="仿宋_GB2312" w:cs="仿宋_GB2312" w:eastAsia="仿宋_GB2312"/>
                <w:sz w:val="21"/>
              </w:rPr>
              <w:t>成品节目采用高清码率（</w:t>
            </w:r>
            <w:r>
              <w:rPr>
                <w:rFonts w:ascii="仿宋_GB2312" w:hAnsi="仿宋_GB2312" w:cs="仿宋_GB2312" w:eastAsia="仿宋_GB2312"/>
                <w:sz w:val="21"/>
              </w:rPr>
              <w:t>8Mbps），直播频道采用高清码率（8Mbps），每篇稿件包含3张图片。</w:t>
            </w:r>
          </w:p>
          <w:p>
            <w:pPr>
              <w:pStyle w:val="null3"/>
              <w:jc w:val="both"/>
            </w:pPr>
            <w:r>
              <w:rPr>
                <w:rFonts w:ascii="仿宋_GB2312" w:hAnsi="仿宋_GB2312" w:cs="仿宋_GB2312" w:eastAsia="仿宋_GB2312"/>
                <w:sz w:val="21"/>
              </w:rPr>
              <w:t>每条成品节目时长</w:t>
            </w:r>
            <w:r>
              <w:rPr>
                <w:rFonts w:ascii="仿宋_GB2312" w:hAnsi="仿宋_GB2312" w:cs="仿宋_GB2312" w:eastAsia="仿宋_GB2312"/>
                <w:sz w:val="21"/>
              </w:rPr>
              <w:t>5分钟，按照4倍成片比（1分钟成品消耗5分钟素材）进行测算，每天成品节目的存储空间如下：</w:t>
            </w:r>
          </w:p>
          <w:p>
            <w:pPr>
              <w:pStyle w:val="null3"/>
              <w:jc w:val="both"/>
            </w:pPr>
            <w:r>
              <w:rPr>
                <w:rFonts w:ascii="仿宋_GB2312" w:hAnsi="仿宋_GB2312" w:cs="仿宋_GB2312" w:eastAsia="仿宋_GB2312"/>
                <w:sz w:val="21"/>
              </w:rPr>
              <w:t>8Mbpsx5x60Sx(1+4)x20/8/1024/1024=0.0286TB；</w:t>
            </w:r>
          </w:p>
          <w:p>
            <w:pPr>
              <w:pStyle w:val="null3"/>
              <w:jc w:val="both"/>
            </w:pPr>
            <w:r>
              <w:rPr>
                <w:rFonts w:ascii="仿宋_GB2312" w:hAnsi="仿宋_GB2312" w:cs="仿宋_GB2312" w:eastAsia="仿宋_GB2312"/>
                <w:sz w:val="21"/>
              </w:rPr>
              <w:t>融媒体中心当前有</w:t>
            </w:r>
            <w:r>
              <w:rPr>
                <w:rFonts w:ascii="仿宋_GB2312" w:hAnsi="仿宋_GB2312" w:cs="仿宋_GB2312" w:eastAsia="仿宋_GB2312"/>
                <w:sz w:val="21"/>
              </w:rPr>
              <w:t>2套电视节目，对直播信号进行收录，直播频道收录码率为8Mbps，每天占用的存储空间如下：</w:t>
            </w:r>
          </w:p>
          <w:p>
            <w:pPr>
              <w:pStyle w:val="null3"/>
              <w:jc w:val="both"/>
            </w:pPr>
            <w:r>
              <w:rPr>
                <w:rFonts w:ascii="仿宋_GB2312" w:hAnsi="仿宋_GB2312" w:cs="仿宋_GB2312" w:eastAsia="仿宋_GB2312"/>
                <w:sz w:val="21"/>
              </w:rPr>
              <w:t>8Mbpsx24x3600Sx2/8/1024/1024=0.165TB；</w:t>
            </w:r>
          </w:p>
          <w:p>
            <w:pPr>
              <w:pStyle w:val="null3"/>
              <w:jc w:val="both"/>
            </w:pPr>
            <w:r>
              <w:rPr>
                <w:rFonts w:ascii="仿宋_GB2312" w:hAnsi="仿宋_GB2312" w:cs="仿宋_GB2312" w:eastAsia="仿宋_GB2312"/>
                <w:sz w:val="21"/>
              </w:rPr>
              <w:t>图片、文字稿件的存储空间占用较小，不单独进行测算。</w:t>
            </w:r>
          </w:p>
          <w:p>
            <w:pPr>
              <w:pStyle w:val="null3"/>
              <w:jc w:val="both"/>
            </w:pPr>
            <w:r>
              <w:rPr>
                <w:rFonts w:ascii="仿宋_GB2312" w:hAnsi="仿宋_GB2312" w:cs="仿宋_GB2312" w:eastAsia="仿宋_GB2312"/>
                <w:sz w:val="21"/>
              </w:rPr>
              <w:t>市级融媒体平台每天存储用量约为：</w:t>
            </w:r>
            <w:r>
              <w:rPr>
                <w:rFonts w:ascii="仿宋_GB2312" w:hAnsi="仿宋_GB2312" w:cs="仿宋_GB2312" w:eastAsia="仿宋_GB2312"/>
                <w:sz w:val="21"/>
              </w:rPr>
              <w:t>0.165TB+0.0286TB=0.2222TB。</w:t>
            </w:r>
          </w:p>
          <w:p>
            <w:pPr>
              <w:pStyle w:val="null3"/>
              <w:jc w:val="both"/>
            </w:pPr>
            <w:r>
              <w:rPr>
                <w:rFonts w:ascii="仿宋_GB2312" w:hAnsi="仿宋_GB2312" w:cs="仿宋_GB2312" w:eastAsia="仿宋_GB2312"/>
                <w:sz w:val="21"/>
              </w:rPr>
              <w:t>3）网络资源需求</w:t>
            </w:r>
          </w:p>
          <w:p>
            <w:pPr>
              <w:pStyle w:val="null3"/>
              <w:jc w:val="both"/>
            </w:pPr>
            <w:r>
              <w:rPr>
                <w:rFonts w:ascii="仿宋_GB2312" w:hAnsi="仿宋_GB2312" w:cs="仿宋_GB2312" w:eastAsia="仿宋_GB2312"/>
                <w:sz w:val="21"/>
              </w:rPr>
              <w:t>支持互联网访问，支持</w:t>
            </w:r>
            <w:r>
              <w:rPr>
                <w:rFonts w:ascii="仿宋_GB2312" w:hAnsi="仿宋_GB2312" w:cs="仿宋_GB2312" w:eastAsia="仿宋_GB2312"/>
                <w:sz w:val="21"/>
              </w:rPr>
              <w:t>100Mbps以上的互联网出口带宽，该出口带宽应只用于融媒体平台业务应用；</w:t>
            </w:r>
          </w:p>
          <w:p>
            <w:pPr>
              <w:pStyle w:val="null3"/>
              <w:jc w:val="both"/>
            </w:pPr>
            <w:r>
              <w:rPr>
                <w:rFonts w:ascii="仿宋_GB2312" w:hAnsi="仿宋_GB2312" w:cs="仿宋_GB2312" w:eastAsia="仿宋_GB2312"/>
                <w:sz w:val="21"/>
              </w:rPr>
              <w:t>支持提供公网</w:t>
            </w:r>
            <w:r>
              <w:rPr>
                <w:rFonts w:ascii="仿宋_GB2312" w:hAnsi="仿宋_GB2312" w:cs="仿宋_GB2312" w:eastAsia="仿宋_GB2312"/>
                <w:sz w:val="21"/>
              </w:rPr>
              <w:t>IP；</w:t>
            </w:r>
          </w:p>
          <w:p>
            <w:pPr>
              <w:pStyle w:val="null3"/>
              <w:jc w:val="both"/>
            </w:pPr>
            <w:r>
              <w:rPr>
                <w:rFonts w:ascii="仿宋_GB2312" w:hAnsi="仿宋_GB2312" w:cs="仿宋_GB2312" w:eastAsia="仿宋_GB2312"/>
                <w:sz w:val="21"/>
              </w:rPr>
              <w:t>支持接入</w:t>
            </w:r>
            <w:r>
              <w:rPr>
                <w:rFonts w:ascii="仿宋_GB2312" w:hAnsi="仿宋_GB2312" w:cs="仿宋_GB2312" w:eastAsia="仿宋_GB2312"/>
                <w:sz w:val="21"/>
              </w:rPr>
              <w:t>CDN系统实现内容加速；</w:t>
            </w:r>
          </w:p>
          <w:p>
            <w:pPr>
              <w:pStyle w:val="null3"/>
              <w:jc w:val="both"/>
            </w:pPr>
            <w:r>
              <w:rPr>
                <w:rFonts w:ascii="仿宋_GB2312" w:hAnsi="仿宋_GB2312" w:cs="仿宋_GB2312" w:eastAsia="仿宋_GB2312"/>
                <w:sz w:val="21"/>
              </w:rPr>
              <w:t>网络资源要求</w:t>
            </w:r>
          </w:p>
          <w:p>
            <w:pPr>
              <w:pStyle w:val="null3"/>
              <w:jc w:val="both"/>
            </w:pPr>
            <w:r>
              <w:rPr>
                <w:rFonts w:ascii="仿宋_GB2312" w:hAnsi="仿宋_GB2312" w:cs="仿宋_GB2312" w:eastAsia="仿宋_GB2312"/>
                <w:sz w:val="21"/>
              </w:rPr>
              <w:t>网络能力可以动态扩展，扩展过程不影响业务正常使用；</w:t>
            </w:r>
          </w:p>
          <w:p>
            <w:pPr>
              <w:pStyle w:val="null3"/>
              <w:jc w:val="both"/>
            </w:pPr>
            <w:r>
              <w:rPr>
                <w:rFonts w:ascii="仿宋_GB2312" w:hAnsi="仿宋_GB2312" w:cs="仿宋_GB2312" w:eastAsia="仿宋_GB2312"/>
                <w:sz w:val="21"/>
              </w:rPr>
              <w:t>平台网络应支持根据不同业务设置不同网络服务质量优先级；</w:t>
            </w:r>
          </w:p>
          <w:p>
            <w:pPr>
              <w:pStyle w:val="null3"/>
              <w:jc w:val="both"/>
            </w:pPr>
            <w:r>
              <w:rPr>
                <w:rFonts w:ascii="仿宋_GB2312" w:hAnsi="仿宋_GB2312" w:cs="仿宋_GB2312" w:eastAsia="仿宋_GB2312"/>
                <w:sz w:val="21"/>
              </w:rPr>
              <w:t>平台网络的吞吐率、传输时延、丢包率应满足高清视音频的生产、传输需求，网络性能指标应符合</w:t>
            </w:r>
            <w:r>
              <w:rPr>
                <w:rFonts w:ascii="仿宋_GB2312" w:hAnsi="仿宋_GB2312" w:cs="仿宋_GB2312" w:eastAsia="仿宋_GB2312"/>
                <w:sz w:val="21"/>
              </w:rPr>
              <w:t>GB/T 21671的要求；</w:t>
            </w:r>
          </w:p>
          <w:p>
            <w:pPr>
              <w:pStyle w:val="null3"/>
              <w:jc w:val="both"/>
            </w:pPr>
            <w:r>
              <w:rPr>
                <w:rFonts w:ascii="仿宋_GB2312" w:hAnsi="仿宋_GB2312" w:cs="仿宋_GB2312" w:eastAsia="仿宋_GB2312"/>
                <w:sz w:val="21"/>
              </w:rPr>
              <w:t>平台应支持源地址网络转发、弹性网络、网络</w:t>
            </w:r>
            <w:r>
              <w:rPr>
                <w:rFonts w:ascii="仿宋_GB2312" w:hAnsi="仿宋_GB2312" w:cs="仿宋_GB2312" w:eastAsia="仿宋_GB2312"/>
                <w:sz w:val="21"/>
              </w:rPr>
              <w:t>IP地址资源池、端口转发、负载均衡等网络服务；</w:t>
            </w:r>
          </w:p>
          <w:p>
            <w:pPr>
              <w:pStyle w:val="null3"/>
              <w:jc w:val="both"/>
            </w:pPr>
            <w:r>
              <w:rPr>
                <w:rFonts w:ascii="仿宋_GB2312" w:hAnsi="仿宋_GB2312" w:cs="仿宋_GB2312" w:eastAsia="仿宋_GB2312"/>
                <w:sz w:val="21"/>
              </w:rPr>
              <w:t>平台网络支持多租户、多业务网络安全隔离；</w:t>
            </w:r>
          </w:p>
          <w:p>
            <w:pPr>
              <w:pStyle w:val="null3"/>
              <w:jc w:val="both"/>
            </w:pPr>
            <w:r>
              <w:rPr>
                <w:rFonts w:ascii="仿宋_GB2312" w:hAnsi="仿宋_GB2312" w:cs="仿宋_GB2312" w:eastAsia="仿宋_GB2312"/>
                <w:sz w:val="21"/>
              </w:rPr>
              <w:t>平台网络应支持</w:t>
            </w:r>
            <w:r>
              <w:rPr>
                <w:rFonts w:ascii="仿宋_GB2312" w:hAnsi="仿宋_GB2312" w:cs="仿宋_GB2312" w:eastAsia="仿宋_GB2312"/>
                <w:sz w:val="21"/>
              </w:rPr>
              <w:t>IPv6，已建成的非IPv6系统逐步过渡到IPv6。</w:t>
            </w:r>
          </w:p>
          <w:p>
            <w:pPr>
              <w:pStyle w:val="null3"/>
              <w:jc w:val="both"/>
            </w:pPr>
            <w:r>
              <w:rPr>
                <w:rFonts w:ascii="仿宋_GB2312" w:hAnsi="仿宋_GB2312" w:cs="仿宋_GB2312" w:eastAsia="仿宋_GB2312"/>
                <w:sz w:val="21"/>
              </w:rPr>
              <w:t>出口带宽测算</w:t>
            </w:r>
          </w:p>
          <w:p>
            <w:pPr>
              <w:pStyle w:val="null3"/>
              <w:jc w:val="both"/>
            </w:pPr>
            <w:r>
              <w:rPr>
                <w:rFonts w:ascii="仿宋_GB2312" w:hAnsi="仿宋_GB2312" w:cs="仿宋_GB2312" w:eastAsia="仿宋_GB2312"/>
                <w:sz w:val="21"/>
              </w:rPr>
              <w:t>出口带宽分为访问请求和音视频请求。</w:t>
            </w:r>
          </w:p>
          <w:p>
            <w:pPr>
              <w:pStyle w:val="null3"/>
              <w:jc w:val="both"/>
            </w:pPr>
            <w:r>
              <w:rPr>
                <w:rFonts w:ascii="仿宋_GB2312" w:hAnsi="仿宋_GB2312" w:cs="仿宋_GB2312" w:eastAsia="仿宋_GB2312"/>
                <w:sz w:val="21"/>
              </w:rPr>
              <w:t>访问请求带宽计算：</w:t>
            </w:r>
          </w:p>
          <w:p>
            <w:pPr>
              <w:pStyle w:val="null3"/>
              <w:jc w:val="both"/>
            </w:pPr>
            <w:r>
              <w:rPr>
                <w:rFonts w:ascii="仿宋_GB2312" w:hAnsi="仿宋_GB2312" w:cs="仿宋_GB2312" w:eastAsia="仿宋_GB2312"/>
                <w:sz w:val="21"/>
              </w:rPr>
              <w:t>按照并发用户</w:t>
            </w:r>
            <w:r>
              <w:rPr>
                <w:rFonts w:ascii="仿宋_GB2312" w:hAnsi="仿宋_GB2312" w:cs="仿宋_GB2312" w:eastAsia="仿宋_GB2312"/>
                <w:sz w:val="21"/>
              </w:rPr>
              <w:t>200、单个请求流量1kB进行计算，访问请求需要的带宽大小为：200x1KB/1000x8=1.6Mb；</w:t>
            </w:r>
          </w:p>
          <w:p>
            <w:pPr>
              <w:pStyle w:val="null3"/>
              <w:jc w:val="both"/>
            </w:pPr>
            <w:r>
              <w:rPr>
                <w:rFonts w:ascii="仿宋_GB2312" w:hAnsi="仿宋_GB2312" w:cs="仿宋_GB2312" w:eastAsia="仿宋_GB2312"/>
                <w:sz w:val="21"/>
              </w:rPr>
              <w:t>对于音视频在互联网的播放，由</w:t>
            </w:r>
            <w:r>
              <w:rPr>
                <w:rFonts w:ascii="仿宋_GB2312" w:hAnsi="仿宋_GB2312" w:cs="仿宋_GB2312" w:eastAsia="仿宋_GB2312"/>
                <w:sz w:val="21"/>
              </w:rPr>
              <w:t>CDN进行内容分发，出口带宽是用于CDN进行音视频内容回源。当前主流CDN厂商支持对视频文件进行切片分发，本项目按照1MB分片大小进行回源请求；融媒体中心每天发布的视频数量为20，按照极限的10个视频同时回源进行出口带宽计算：</w:t>
            </w:r>
          </w:p>
          <w:p>
            <w:pPr>
              <w:pStyle w:val="null3"/>
              <w:jc w:val="both"/>
            </w:pPr>
            <w:r>
              <w:rPr>
                <w:rFonts w:ascii="仿宋_GB2312" w:hAnsi="仿宋_GB2312" w:cs="仿宋_GB2312" w:eastAsia="仿宋_GB2312"/>
                <w:sz w:val="21"/>
              </w:rPr>
              <w:t>10x1MBx8=80Mb；</w:t>
            </w:r>
          </w:p>
          <w:p>
            <w:pPr>
              <w:pStyle w:val="null3"/>
              <w:jc w:val="both"/>
            </w:pPr>
            <w:r>
              <w:rPr>
                <w:rFonts w:ascii="仿宋_GB2312" w:hAnsi="仿宋_GB2312" w:cs="仿宋_GB2312" w:eastAsia="仿宋_GB2312"/>
                <w:sz w:val="21"/>
              </w:rPr>
              <w:t>考虑到网络波动和带宽损耗，本次项目建议出口带宽配置为</w:t>
            </w:r>
            <w:r>
              <w:rPr>
                <w:rFonts w:ascii="仿宋_GB2312" w:hAnsi="仿宋_GB2312" w:cs="仿宋_GB2312" w:eastAsia="仿宋_GB2312"/>
                <w:sz w:val="21"/>
              </w:rPr>
              <w:t>100Mb。</w:t>
            </w:r>
          </w:p>
          <w:p>
            <w:pPr>
              <w:pStyle w:val="null3"/>
              <w:jc w:val="both"/>
            </w:pPr>
            <w:r>
              <w:rPr>
                <w:rFonts w:ascii="仿宋_GB2312" w:hAnsi="仿宋_GB2312" w:cs="仿宋_GB2312" w:eastAsia="仿宋_GB2312"/>
                <w:sz w:val="21"/>
              </w:rPr>
              <w:t>其他云资源</w:t>
            </w:r>
          </w:p>
          <w:p>
            <w:pPr>
              <w:pStyle w:val="null3"/>
              <w:jc w:val="both"/>
            </w:pPr>
            <w:r>
              <w:rPr>
                <w:rFonts w:ascii="仿宋_GB2312" w:hAnsi="仿宋_GB2312" w:cs="仿宋_GB2312" w:eastAsia="仿宋_GB2312"/>
                <w:sz w:val="21"/>
              </w:rPr>
              <w:t>支持提供</w:t>
            </w:r>
            <w:r>
              <w:rPr>
                <w:rFonts w:ascii="仿宋_GB2312" w:hAnsi="仿宋_GB2312" w:cs="仿宋_GB2312" w:eastAsia="仿宋_GB2312"/>
                <w:sz w:val="21"/>
              </w:rPr>
              <w:t>CDN、SSL证书等公有云资源服务。</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4"/>
                <w:b/>
              </w:rPr>
              <w:t>其他要求</w:t>
            </w:r>
          </w:p>
          <w:p>
            <w:pPr>
              <w:pStyle w:val="null3"/>
              <w:jc w:val="both"/>
            </w:pPr>
            <w:r>
              <w:rPr>
                <w:rFonts w:ascii="仿宋_GB2312" w:hAnsi="仿宋_GB2312" w:cs="仿宋_GB2312" w:eastAsia="仿宋_GB2312"/>
                <w:sz w:val="21"/>
              </w:rPr>
              <w:t>1.供应商需要提供合理的项目整体服务方案，能按照项目分解节点并可跟踪实施。确保按期交付使用。</w:t>
            </w:r>
          </w:p>
          <w:p>
            <w:pPr>
              <w:pStyle w:val="null3"/>
              <w:jc w:val="both"/>
            </w:pPr>
            <w:r>
              <w:rPr>
                <w:rFonts w:ascii="仿宋_GB2312" w:hAnsi="仿宋_GB2312" w:cs="仿宋_GB2312" w:eastAsia="仿宋_GB2312"/>
                <w:sz w:val="21"/>
              </w:rPr>
              <w:t xml:space="preserve">2.系统业务功能建设模块要求完整、设计合理、科学。  </w:t>
            </w:r>
          </w:p>
          <w:p>
            <w:pPr>
              <w:pStyle w:val="null3"/>
              <w:jc w:val="both"/>
            </w:pPr>
            <w:r>
              <w:rPr>
                <w:rFonts w:ascii="仿宋_GB2312" w:hAnsi="仿宋_GB2312" w:cs="仿宋_GB2312" w:eastAsia="仿宋_GB2312"/>
                <w:sz w:val="21"/>
              </w:rPr>
              <w:t>3..对于其提供的软件系统拥有知识产权或已获得权利人的授权，本项目使用乙方提供的软件不会侵犯第三方的合法权益，否则乙方应当负责处理索赔或涉诉等各项事宜，造成甲方损失的，乙方还应当承担赔偿责任。</w:t>
            </w:r>
          </w:p>
          <w:p>
            <w:pPr>
              <w:pStyle w:val="null3"/>
              <w:jc w:val="both"/>
            </w:pPr>
            <w:r>
              <w:rPr>
                <w:rFonts w:ascii="仿宋_GB2312" w:hAnsi="仿宋_GB2312" w:cs="仿宋_GB2312" w:eastAsia="仿宋_GB2312"/>
                <w:sz w:val="21"/>
              </w:rPr>
              <w:t>4.供应商应履行采购人保密义务。</w:t>
            </w:r>
          </w:p>
          <w:p>
            <w:pPr>
              <w:pStyle w:val="null3"/>
              <w:jc w:val="both"/>
            </w:pPr>
            <w:r>
              <w:rPr>
                <w:rFonts w:ascii="仿宋_GB2312" w:hAnsi="仿宋_GB2312" w:cs="仿宋_GB2312" w:eastAsia="仿宋_GB2312"/>
                <w:sz w:val="21"/>
              </w:rPr>
              <w:t>5.提供针对本项目的培训计划方案，完成技术培训工作，并落实售后服务措施。</w:t>
            </w:r>
          </w:p>
          <w:p>
            <w:pPr>
              <w:pStyle w:val="null3"/>
              <w:jc w:val="both"/>
            </w:pPr>
            <w:r>
              <w:rPr>
                <w:rFonts w:ascii="仿宋_GB2312" w:hAnsi="仿宋_GB2312" w:cs="仿宋_GB2312" w:eastAsia="仿宋_GB2312"/>
                <w:sz w:val="21"/>
              </w:rPr>
              <w:t>6.符合国家相关法律、法规及行业规范及采购要求。</w:t>
            </w:r>
          </w:p>
          <w:p>
            <w:pPr>
              <w:pStyle w:val="null3"/>
              <w:jc w:val="both"/>
            </w:pPr>
            <w:r>
              <w:rPr>
                <w:rFonts w:ascii="仿宋_GB2312" w:hAnsi="仿宋_GB2312" w:cs="仿宋_GB2312" w:eastAsia="仿宋_GB2312"/>
                <w:sz w:val="21"/>
                <w:b/>
              </w:rPr>
              <w:t>7.</w:t>
            </w:r>
            <w:r>
              <w:rPr>
                <w:rFonts w:ascii="仿宋_GB2312" w:hAnsi="仿宋_GB2312" w:cs="仿宋_GB2312" w:eastAsia="仿宋_GB2312"/>
                <w:sz w:val="21"/>
                <w:b/>
              </w:rPr>
              <w:t>本项目为信息化应用系统开发及配套实施项目，采购文件中列明系统的功能需求、性能指标等核心内容。供应商应根据本项目信息化系统的实际运行需要，在响应文件中提供具体的设计方案及详细项目清单，列明满足系统稳定、高效运行所需的全部配套硬件的规格型号、技术参数、数量、生产厂家、质保期限等详细信息，以及明确软件的技术指标、功能等内容，并对硬件与系统的兼容性、适配性作出明确承诺。</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根据项目需求配置相应人员。</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根据项目需求配置相应设施设备。</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合同签订后180天内完成项目建设、系统调试、试运行及验收工作。</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平台部署完成</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项目验收合格后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自验收合格并交付使用之日起180天内无质量问题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符合国家、行业相关标准和规范，以及单一来源采购文件要求的技术标准和乙方单一来源响应文件。</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成交供应商在成交结果公告发布后3个工作日内提供叁套纸质响应文件（经编标工具生成的文件直接打印并加盖公章），递交的纸质版文件内容确保与线上电子文件保持一致，不允许修改和补充。 该项目采购标的对应的中小企业划分标准所属行业为软件和信息技术服务行业。 软件和信息技术服务行业划型标准为：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1.1供应商应具备独立承担民事责任能力的法人、其他组织或自然人，提供合法有效的统一社会信用代码的营业执照副本或相关证明（自然人提供身份证复印件）； 1.2提供具有财务审计资质单位出具的2024年度的财务报告或响应文件提交截止时间前六个月内其基本账户银行出具的资信证明； 1.3供应商提供响应文件提交截止时间前一年内任意一个月的社会保障资金缴存证明或社保机构开具的社会保险参保缴费情况证明； 1.4供应商提供响应文件提交截止时间前一年内任意一个月的依法缴纳税收的相关证明，依法免税需提供相关证明材料； 1.5供应商提供参加政府采购活动前三年内经营活动中没有重大违法纪录的书面声明； 1.6提供具有履行合同所必需的设备和专业技术能力的声明。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法定代表人（负责人）或授权代表身份证明</w:t>
            </w:r>
          </w:p>
        </w:tc>
        <w:tc>
          <w:tcPr>
            <w:tcW w:type="dxa" w:w="3322"/>
          </w:tcPr>
          <w:p>
            <w:pPr>
              <w:pStyle w:val="null3"/>
            </w:pPr>
            <w:r>
              <w:rPr>
                <w:rFonts w:ascii="仿宋_GB2312" w:hAnsi="仿宋_GB2312" w:cs="仿宋_GB2312" w:eastAsia="仿宋_GB2312"/>
              </w:rPr>
              <w:t>供应商应授权合法的人员参加协商全过程，其中法定代表人（负责人）直接参加的，须出具法定代表人（负责人）身份证明，并与营业执照上信息一致。法定代表人（负责人）授权代表参加的，须出具法定代表人（负责人）授权书及授权代表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供应商未列入“信用中国”网站（www.creditchina.gov.cn）和中国政府采购网（www.ccgp.gov.cn）失信被执行人、重大税收违法失信主体、政府采购严重违法失信行为记录名单。</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满足单一来源采购文件商务要求及服务内容</w:t>
            </w:r>
          </w:p>
        </w:tc>
        <w:tc>
          <w:tcPr>
            <w:tcW w:type="dxa" w:w="1661"/>
          </w:tcPr>
          <w:p>
            <w:pPr>
              <w:pStyle w:val="null3"/>
            </w:pPr>
            <w:r>
              <w:rPr>
                <w:rFonts w:ascii="仿宋_GB2312" w:hAnsi="仿宋_GB2312" w:cs="仿宋_GB2312" w:eastAsia="仿宋_GB2312"/>
              </w:rPr>
              <w:t>服务内容及服务邀请应答表 商务应答表.docx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响应函 报价明细表.docx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投标人按照招标文件(单一来源采购文件)要求上传响应文件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响应文件签字和盖章满足单一来源采购文件的要求</w:t>
            </w:r>
          </w:p>
        </w:tc>
        <w:tc>
          <w:tcPr>
            <w:tcW w:type="dxa" w:w="1661"/>
          </w:tcPr>
          <w:p>
            <w:pPr>
              <w:pStyle w:val="null3"/>
            </w:pPr>
            <w:r>
              <w:rPr>
                <w:rFonts w:ascii="仿宋_GB2312" w:hAnsi="仿宋_GB2312" w:cs="仿宋_GB2312" w:eastAsia="仿宋_GB2312"/>
              </w:rPr>
              <w:t>响应文件封面 供应商应提交的相关资格证明材料.docx 服务内容及服务邀请应答表 中小企业声明函 残疾人福利性单位声明函 服务方案 标的清单 商务应答表.docx 报价表 响应函 报价明细表.docx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单一来源响应有效期满足采购文件的要求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供应商响应报价未超出最高限价</w:t>
            </w:r>
          </w:p>
        </w:tc>
        <w:tc>
          <w:tcPr>
            <w:tcW w:type="dxa" w:w="1661"/>
          </w:tcPr>
          <w:p>
            <w:pPr>
              <w:pStyle w:val="null3"/>
            </w:pPr>
            <w:r>
              <w:rPr>
                <w:rFonts w:ascii="仿宋_GB2312" w:hAnsi="仿宋_GB2312" w:cs="仿宋_GB2312" w:eastAsia="仿宋_GB2312"/>
              </w:rPr>
              <w:t>标的清单 报价表 报价明细表.docx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服务期满足或优于采购要求</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响应文件中对合同草案条款未附加采购人难以接受的条件</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达到国家现行技术合格标准，满足采购要求</w:t>
            </w:r>
          </w:p>
        </w:tc>
        <w:tc>
          <w:tcPr>
            <w:tcW w:type="dxa" w:w="1661"/>
          </w:tcPr>
          <w:p>
            <w:pPr>
              <w:pStyle w:val="null3"/>
            </w:pPr>
            <w:r>
              <w:rPr>
                <w:rFonts w:ascii="仿宋_GB2312" w:hAnsi="仿宋_GB2312" w:cs="仿宋_GB2312" w:eastAsia="仿宋_GB2312"/>
              </w:rPr>
              <w:t>商务应答表.docx</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