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版本号：ZCSP-渭南市-2025-0092920251225001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渭南市中心城区内涝风险评估及防涝联排联调方案编制项目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ZCSP-渭南市-2025-00929</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渭南市中心城区内涝风险评估及防涝联排联调方案编制项目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渭南市中心城区内涝风险评估及防涝联排联调方案编制项目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对渭南市中心城区（临渭区、华州区和高新区）开展内涝风险评估，识别内涝风险区域和风险等级，提出防涝联排联调方案。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及法人身份证明书（附法定代表人及被授权人身份证复印件）</w:t>
      </w:r>
    </w:p>
    <w:p>
      <w:pPr>
        <w:pStyle w:val="null3"/>
      </w:pPr>
      <w:r>
        <w:rPr>
          <w:rFonts w:ascii="仿宋_GB2312" w:hAnsi="仿宋_GB2312" w:cs="仿宋_GB2312" w:eastAsia="仿宋_GB2312"/>
        </w:rPr>
        <w:t>2、项目负责人：拟派项目负责人须具备水利相关专业高级及以上职称</w:t>
      </w:r>
    </w:p>
    <w:p>
      <w:pPr>
        <w:pStyle w:val="null3"/>
      </w:pPr>
      <w:r>
        <w:rPr>
          <w:rFonts w:ascii="仿宋_GB2312" w:hAnsi="仿宋_GB2312" w:cs="仿宋_GB2312" w:eastAsia="仿宋_GB2312"/>
        </w:rPr>
        <w:t>3、磋商保证金：磋商保证金交纳凭证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5、无管控承诺：单位负责人为同一人或者存在直接控股、管理关系的不同供应商，不得参加同一合同项下的政府采购活动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原国家计委关于《招标代理服务收费管理暂行办法》（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成果完整性：符合本采购需求规定的成果组成要求，无缺项、漏项； 数据准确性：基础数据真实可靠，模型计算结果精准，风险评估结论科学合理； 方案可行性：防涝联排联调方案符合渭南市实际情况，技术可行、经济合理、便于操作； 规范符合性：严格执行国家、行业及地方相关标准规范，报告编制、图件制作符合规定格式； 可追溯性：原始数据、模型文件、计算过程可追溯，便于核查。</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对渭南市中心城区（临渭区、华州区和高新区）开展内涝风险评估，识别内涝风险区域和风险等级，提出防涝联排联调方案。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渭南市中心城区内涝风险评估及防涝联排联调方案编制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标的名称：渭南市中心城区内涝风险评估及防涝联排联调方案编制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both"/>
            </w:pPr>
            <w:r>
              <w:rPr>
                <w:rFonts w:ascii="仿宋_GB2312" w:hAnsi="仿宋_GB2312" w:cs="仿宋_GB2312" w:eastAsia="仿宋_GB2312"/>
                <w:sz w:val="24"/>
              </w:rPr>
              <w:t>科学评估汛期渭南市中心城区的内涝风险，优化完善防涝联排联调方案，指导城市防内涝工作。</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对渭南市中心城区（临渭区、华州区和高新区）开展内涝风险评估，识别内涝风险区域和风险等级，提出防涝联排联调方案。</w:t>
            </w:r>
          </w:p>
          <w:p>
            <w:pPr>
              <w:pStyle w:val="null3"/>
              <w:ind w:firstLine="482"/>
              <w:jc w:val="both"/>
            </w:pPr>
            <w:r>
              <w:rPr>
                <w:rFonts w:ascii="仿宋_GB2312" w:hAnsi="仿宋_GB2312" w:cs="仿宋_GB2312" w:eastAsia="仿宋_GB2312"/>
                <w:sz w:val="24"/>
                <w:b/>
              </w:rPr>
              <w:t>三、服务具体要求</w:t>
            </w:r>
          </w:p>
          <w:p>
            <w:pPr>
              <w:pStyle w:val="null3"/>
              <w:ind w:firstLine="482"/>
              <w:jc w:val="both"/>
            </w:pPr>
            <w:r>
              <w:rPr>
                <w:rFonts w:ascii="仿宋_GB2312" w:hAnsi="仿宋_GB2312" w:cs="仿宋_GB2312" w:eastAsia="仿宋_GB2312"/>
                <w:sz w:val="24"/>
                <w:b/>
              </w:rPr>
              <w:t>（一）服务技术要求</w:t>
            </w:r>
          </w:p>
          <w:p>
            <w:pPr>
              <w:pStyle w:val="null3"/>
              <w:ind w:firstLine="480"/>
              <w:jc w:val="both"/>
            </w:pPr>
            <w:r>
              <w:rPr>
                <w:rFonts w:ascii="仿宋_GB2312" w:hAnsi="仿宋_GB2312" w:cs="仿宋_GB2312" w:eastAsia="仿宋_GB2312"/>
                <w:sz w:val="24"/>
              </w:rPr>
              <w:t>1、基础资料收集与核查收集中心城区地形地貌、气象数据、水文数据、排水系统资料、城市规划及土地利用现状图等基础资料。</w:t>
            </w:r>
          </w:p>
          <w:p>
            <w:pPr>
              <w:pStyle w:val="null3"/>
              <w:ind w:firstLine="480"/>
              <w:jc w:val="both"/>
            </w:pPr>
            <w:r>
              <w:rPr>
                <w:rFonts w:ascii="仿宋_GB2312" w:hAnsi="仿宋_GB2312" w:cs="仿宋_GB2312" w:eastAsia="仿宋_GB2312"/>
                <w:sz w:val="24"/>
              </w:rPr>
              <w:t>2、对收集的资料进行真实性、完整性、时效性核查，缺失或不符的资料需实地调研补充，确保基础数据准确可靠。</w:t>
            </w:r>
          </w:p>
          <w:p>
            <w:pPr>
              <w:pStyle w:val="null3"/>
              <w:ind w:firstLine="480"/>
              <w:jc w:val="both"/>
            </w:pPr>
            <w:r>
              <w:rPr>
                <w:rFonts w:ascii="仿宋_GB2312" w:hAnsi="仿宋_GB2312" w:cs="仿宋_GB2312" w:eastAsia="仿宋_GB2312"/>
                <w:sz w:val="24"/>
              </w:rPr>
              <w:t>3、根据渭南市中心城区内涝特性和排水防涝现状，综合气象、水文、地形地貌等本底条件，构建用于分析内涝风险的数值模型，计算不同量级的城区降雨、南塬入城洪水和渭河洪水位组合条件下的城市雨洪过程。</w:t>
            </w:r>
          </w:p>
          <w:p>
            <w:pPr>
              <w:pStyle w:val="null3"/>
              <w:ind w:firstLine="480"/>
              <w:jc w:val="both"/>
            </w:pPr>
            <w:r>
              <w:rPr>
                <w:rFonts w:ascii="仿宋_GB2312" w:hAnsi="仿宋_GB2312" w:cs="仿宋_GB2312" w:eastAsia="仿宋_GB2312"/>
                <w:sz w:val="24"/>
              </w:rPr>
              <w:t>4、明确各风险等级区域的具体范围（精确至道路或街区），标注关键风险点（如低洼路段、大型地下车库入口、学校、医院、交通枢纽等人员密集或重要场所），形成内涝风险评估分布图。</w:t>
            </w:r>
          </w:p>
          <w:p>
            <w:pPr>
              <w:pStyle w:val="null3"/>
              <w:ind w:firstLine="480"/>
              <w:jc w:val="both"/>
            </w:pPr>
            <w:r>
              <w:rPr>
                <w:rFonts w:ascii="仿宋_GB2312" w:hAnsi="仿宋_GB2312" w:cs="仿宋_GB2312" w:eastAsia="仿宋_GB2312"/>
                <w:sz w:val="24"/>
              </w:rPr>
              <w:t>5、根据涉及的防洪排涝工程设施的布局和运行状况，提出防涝联排连调方案。</w:t>
            </w:r>
          </w:p>
          <w:p>
            <w:pPr>
              <w:pStyle w:val="null3"/>
              <w:ind w:firstLine="482"/>
              <w:jc w:val="both"/>
            </w:pPr>
            <w:r>
              <w:rPr>
                <w:rFonts w:ascii="仿宋_GB2312" w:hAnsi="仿宋_GB2312" w:cs="仿宋_GB2312" w:eastAsia="仿宋_GB2312"/>
                <w:sz w:val="24"/>
                <w:b/>
              </w:rPr>
              <w:t>（二）服务质量标准</w:t>
            </w:r>
          </w:p>
          <w:p>
            <w:pPr>
              <w:pStyle w:val="null3"/>
              <w:ind w:firstLine="480"/>
              <w:jc w:val="both"/>
            </w:pPr>
            <w:r>
              <w:rPr>
                <w:rFonts w:ascii="仿宋_GB2312" w:hAnsi="仿宋_GB2312" w:cs="仿宋_GB2312" w:eastAsia="仿宋_GB2312"/>
                <w:sz w:val="24"/>
              </w:rPr>
              <w:t>严格遵守《城镇内涝防治技术标准》（</w:t>
            </w:r>
            <w:r>
              <w:rPr>
                <w:rFonts w:ascii="仿宋_GB2312" w:hAnsi="仿宋_GB2312" w:cs="仿宋_GB2312" w:eastAsia="仿宋_GB2312"/>
                <w:sz w:val="24"/>
              </w:rPr>
              <w:t>GB 51222）；《城市防洪工程设计规范》（GB/T 50805）；《水文调查规范》（SL 196）；《城市排水工程规划规范》（GB 50318）；《市政排水管道工程施工及验收规范》（GB 50268）；《陕西省城镇内涝风险评估技术导则》（陕建发〔最新版〕）；《陕西省城市防洪排涝应急预案编制指南》；《城市用地分类与规划建设用地标准》（GB 50137）；《地理信息元数据》（GB/T 19710）；国家及陕西省关于政府采购、应急管理、城市建设的其他相关法律法规及标准规范，确保服务成果的真实性、准确性、完整性和规范性。</w:t>
            </w:r>
          </w:p>
          <w:p>
            <w:pPr>
              <w:pStyle w:val="null3"/>
              <w:ind w:firstLine="482"/>
              <w:jc w:val="both"/>
            </w:pPr>
            <w:r>
              <w:rPr>
                <w:rFonts w:ascii="仿宋_GB2312" w:hAnsi="仿宋_GB2312" w:cs="仿宋_GB2312" w:eastAsia="仿宋_GB2312"/>
                <w:sz w:val="24"/>
                <w:b/>
              </w:rPr>
              <w:t>（三）工作内容要求</w:t>
            </w:r>
          </w:p>
          <w:p>
            <w:pPr>
              <w:pStyle w:val="null3"/>
              <w:ind w:firstLine="482"/>
              <w:jc w:val="both"/>
            </w:pPr>
            <w:r>
              <w:rPr>
                <w:rFonts w:ascii="仿宋_GB2312" w:hAnsi="仿宋_GB2312" w:cs="仿宋_GB2312" w:eastAsia="仿宋_GB2312"/>
                <w:sz w:val="24"/>
                <w:b/>
              </w:rPr>
              <w:t>1、基础资料收集范围</w:t>
            </w:r>
          </w:p>
          <w:p>
            <w:pPr>
              <w:pStyle w:val="null3"/>
              <w:ind w:firstLine="480"/>
              <w:jc w:val="both"/>
            </w:pPr>
            <w:r>
              <w:rPr>
                <w:rFonts w:ascii="仿宋_GB2312" w:hAnsi="仿宋_GB2312" w:cs="仿宋_GB2312" w:eastAsia="仿宋_GB2312"/>
                <w:sz w:val="24"/>
              </w:rPr>
              <w:t>地形地貌资料：地形图、高程数据、地貌类型分布图等；</w:t>
            </w:r>
          </w:p>
          <w:p>
            <w:pPr>
              <w:pStyle w:val="null3"/>
              <w:ind w:firstLine="480"/>
              <w:jc w:val="both"/>
            </w:pPr>
            <w:r>
              <w:rPr>
                <w:rFonts w:ascii="仿宋_GB2312" w:hAnsi="仿宋_GB2312" w:cs="仿宋_GB2312" w:eastAsia="仿宋_GB2312"/>
                <w:sz w:val="24"/>
              </w:rPr>
              <w:t>气象数据：渭南市雨型分析报告、不同重现期降雨过程线等；</w:t>
            </w:r>
          </w:p>
          <w:p>
            <w:pPr>
              <w:pStyle w:val="null3"/>
              <w:ind w:firstLine="480"/>
              <w:jc w:val="both"/>
            </w:pPr>
            <w:r>
              <w:rPr>
                <w:rFonts w:ascii="仿宋_GB2312" w:hAnsi="仿宋_GB2312" w:cs="仿宋_GB2312" w:eastAsia="仿宋_GB2312"/>
                <w:sz w:val="24"/>
              </w:rPr>
              <w:t>水文数据：渭河及区域内主要支流的水位、南塬山洪调查资料等；</w:t>
            </w:r>
          </w:p>
          <w:p>
            <w:pPr>
              <w:pStyle w:val="null3"/>
              <w:ind w:firstLine="480"/>
              <w:jc w:val="both"/>
            </w:pPr>
            <w:r>
              <w:rPr>
                <w:rFonts w:ascii="仿宋_GB2312" w:hAnsi="仿宋_GB2312" w:cs="仿宋_GB2312" w:eastAsia="仿宋_GB2312"/>
                <w:sz w:val="24"/>
              </w:rPr>
              <w:t>排水系统资料：排水管网现状图等（包括管径、坡度、流向、检查井位置、泵站参数等）；</w:t>
            </w:r>
          </w:p>
          <w:p>
            <w:pPr>
              <w:pStyle w:val="null3"/>
              <w:ind w:firstLine="480"/>
              <w:jc w:val="both"/>
            </w:pPr>
            <w:r>
              <w:rPr>
                <w:rFonts w:ascii="仿宋_GB2312" w:hAnsi="仿宋_GB2312" w:cs="仿宋_GB2312" w:eastAsia="仿宋_GB2312"/>
                <w:sz w:val="24"/>
              </w:rPr>
              <w:t>城市规划及土地利用资料：最新城市总体规划、用地现状图、重点区域（学校、医院、交通枢纽、地下空间）调研资料等；</w:t>
            </w:r>
          </w:p>
          <w:p>
            <w:pPr>
              <w:pStyle w:val="null3"/>
              <w:ind w:firstLine="480"/>
              <w:jc w:val="both"/>
            </w:pPr>
            <w:r>
              <w:rPr>
                <w:rFonts w:ascii="仿宋_GB2312" w:hAnsi="仿宋_GB2312" w:cs="仿宋_GB2312" w:eastAsia="仿宋_GB2312"/>
                <w:sz w:val="24"/>
              </w:rPr>
              <w:t>其他资料：历史内涝灾害记录（位置、时间、积水深度、持续时间、影响范围）、现有防洪排涝工程设施（水库、泵站、闸门等）运行调度方案等。</w:t>
            </w:r>
          </w:p>
          <w:p>
            <w:pPr>
              <w:pStyle w:val="null3"/>
              <w:ind w:firstLine="482"/>
              <w:jc w:val="both"/>
            </w:pPr>
            <w:r>
              <w:rPr>
                <w:rFonts w:ascii="仿宋_GB2312" w:hAnsi="仿宋_GB2312" w:cs="仿宋_GB2312" w:eastAsia="仿宋_GB2312"/>
                <w:sz w:val="24"/>
                <w:b/>
              </w:rPr>
              <w:t>2、内涝风险评估</w:t>
            </w:r>
          </w:p>
          <w:p>
            <w:pPr>
              <w:pStyle w:val="null3"/>
              <w:ind w:firstLine="480"/>
              <w:jc w:val="both"/>
            </w:pPr>
            <w:r>
              <w:rPr>
                <w:rFonts w:ascii="仿宋_GB2312" w:hAnsi="仿宋_GB2312" w:cs="仿宋_GB2312" w:eastAsia="仿宋_GB2312"/>
                <w:sz w:val="24"/>
              </w:rPr>
              <w:t>风险等级划分：按照</w:t>
            </w:r>
            <w:r>
              <w:rPr>
                <w:rFonts w:ascii="仿宋_GB2312" w:hAnsi="仿宋_GB2312" w:cs="仿宋_GB2312" w:eastAsia="仿宋_GB2312"/>
                <w:sz w:val="24"/>
              </w:rPr>
              <w:t>“低风险、中风险、较高风险、高风险”四级划分，明确各级风险对应的积水深度、持续时间及影响程度；</w:t>
            </w:r>
          </w:p>
          <w:p>
            <w:pPr>
              <w:pStyle w:val="null3"/>
              <w:ind w:firstLine="480"/>
              <w:jc w:val="both"/>
            </w:pPr>
            <w:r>
              <w:rPr>
                <w:rFonts w:ascii="仿宋_GB2312" w:hAnsi="仿宋_GB2312" w:cs="仿宋_GB2312" w:eastAsia="仿宋_GB2312"/>
                <w:sz w:val="24"/>
              </w:rPr>
              <w:t>关键风险点识别：重点排查学校、医院、大型商超、交通枢纽、大型地下车库入口、城市主干道低洼段、排水泵站进水口、山洪入城通道出口等区域，明确每个风险点的风险等级、主要致涝原因及影响范围。</w:t>
            </w:r>
          </w:p>
          <w:p>
            <w:pPr>
              <w:pStyle w:val="null3"/>
              <w:ind w:firstLine="482"/>
              <w:jc w:val="both"/>
            </w:pPr>
            <w:r>
              <w:rPr>
                <w:rFonts w:ascii="仿宋_GB2312" w:hAnsi="仿宋_GB2312" w:cs="仿宋_GB2312" w:eastAsia="仿宋_GB2312"/>
                <w:sz w:val="24"/>
                <w:b/>
              </w:rPr>
              <w:t>3、防涝联排联调方案</w:t>
            </w:r>
          </w:p>
          <w:p>
            <w:pPr>
              <w:pStyle w:val="null3"/>
              <w:ind w:firstLine="480"/>
              <w:jc w:val="both"/>
            </w:pPr>
            <w:r>
              <w:rPr>
                <w:rFonts w:ascii="仿宋_GB2312" w:hAnsi="仿宋_GB2312" w:cs="仿宋_GB2312" w:eastAsia="仿宋_GB2312"/>
                <w:sz w:val="24"/>
              </w:rPr>
              <w:t>现状问题诊断：全面分析现有排水管网、泵站现状运行方案，明确设施运行可优化的内容。</w:t>
            </w:r>
          </w:p>
          <w:p>
            <w:pPr>
              <w:pStyle w:val="null3"/>
              <w:ind w:firstLine="480"/>
              <w:jc w:val="both"/>
            </w:pPr>
            <w:r>
              <w:rPr>
                <w:rFonts w:ascii="仿宋_GB2312" w:hAnsi="仿宋_GB2312" w:cs="仿宋_GB2312" w:eastAsia="仿宋_GB2312"/>
                <w:sz w:val="24"/>
              </w:rPr>
              <w:t>调度原则制定：遵循</w:t>
            </w:r>
            <w:r>
              <w:rPr>
                <w:rFonts w:ascii="仿宋_GB2312" w:hAnsi="仿宋_GB2312" w:cs="仿宋_GB2312" w:eastAsia="仿宋_GB2312"/>
                <w:sz w:val="24"/>
              </w:rPr>
              <w:t>“源头减排、管网输排、泵站强排”的原则，明确不同部门的调度规则。</w:t>
            </w:r>
          </w:p>
          <w:p>
            <w:pPr>
              <w:pStyle w:val="null3"/>
              <w:ind w:firstLine="480"/>
              <w:jc w:val="both"/>
            </w:pPr>
            <w:r>
              <w:rPr>
                <w:rFonts w:ascii="仿宋_GB2312" w:hAnsi="仿宋_GB2312" w:cs="仿宋_GB2312" w:eastAsia="仿宋_GB2312"/>
                <w:sz w:val="24"/>
              </w:rPr>
              <w:t>具体调度方案：包括管网与泵站联合调度、闸门调度和应急调度（包括极端内涝情况下的人员转移、交通管制）。</w:t>
            </w:r>
          </w:p>
          <w:p>
            <w:pPr>
              <w:pStyle w:val="null3"/>
              <w:jc w:val="both"/>
              <w:outlineLvl w:val="3"/>
            </w:pPr>
            <w:r>
              <w:rPr>
                <w:rFonts w:ascii="仿宋_GB2312" w:hAnsi="仿宋_GB2312" w:cs="仿宋_GB2312" w:eastAsia="仿宋_GB2312"/>
                <w:sz w:val="24"/>
                <w:b/>
              </w:rPr>
              <w:t>（四）编制工作技术要求</w:t>
            </w:r>
          </w:p>
          <w:p>
            <w:pPr>
              <w:pStyle w:val="null3"/>
              <w:jc w:val="both"/>
              <w:outlineLvl w:val="3"/>
            </w:pPr>
            <w:r>
              <w:rPr>
                <w:rFonts w:ascii="仿宋_GB2312" w:hAnsi="仿宋_GB2312" w:cs="仿宋_GB2312" w:eastAsia="仿宋_GB2312"/>
                <w:sz w:val="24"/>
                <w:b/>
              </w:rPr>
              <w:t>1、基础资料核查标准：</w:t>
            </w:r>
          </w:p>
          <w:p>
            <w:pPr>
              <w:pStyle w:val="null3"/>
              <w:jc w:val="both"/>
              <w:outlineLvl w:val="3"/>
            </w:pPr>
            <w:r>
              <w:rPr>
                <w:rFonts w:ascii="仿宋_GB2312" w:hAnsi="仿宋_GB2312" w:cs="仿宋_GB2312" w:eastAsia="仿宋_GB2312"/>
                <w:sz w:val="24"/>
                <w:b/>
              </w:rPr>
              <w:t>真实性：通过实地踏勘、与相关部门核实、历史数据比对等方式，确保资料无虚假、篡改信息；</w:t>
            </w:r>
          </w:p>
          <w:p>
            <w:pPr>
              <w:pStyle w:val="null3"/>
              <w:jc w:val="both"/>
              <w:outlineLvl w:val="3"/>
            </w:pPr>
            <w:r>
              <w:rPr>
                <w:rFonts w:ascii="仿宋_GB2312" w:hAnsi="仿宋_GB2312" w:cs="仿宋_GB2312" w:eastAsia="仿宋_GB2312"/>
                <w:sz w:val="24"/>
                <w:b/>
              </w:rPr>
              <w:t>完整性：确保各类基础资料覆盖评估区域全域，无重大缺失，若某类资料缺失且无法通过现有渠道获取，需组织实地调研补充；</w:t>
            </w:r>
          </w:p>
          <w:p>
            <w:pPr>
              <w:pStyle w:val="null3"/>
              <w:jc w:val="both"/>
              <w:outlineLvl w:val="3"/>
            </w:pPr>
            <w:r>
              <w:rPr>
                <w:rFonts w:ascii="仿宋_GB2312" w:hAnsi="仿宋_GB2312" w:cs="仿宋_GB2312" w:eastAsia="仿宋_GB2312"/>
                <w:sz w:val="24"/>
                <w:b/>
              </w:rPr>
              <w:t>2、数值模型构建要求：</w:t>
            </w:r>
          </w:p>
          <w:p>
            <w:pPr>
              <w:pStyle w:val="null3"/>
              <w:jc w:val="both"/>
              <w:outlineLvl w:val="3"/>
            </w:pPr>
            <w:r>
              <w:rPr>
                <w:rFonts w:ascii="仿宋_GB2312" w:hAnsi="仿宋_GB2312" w:cs="仿宋_GB2312" w:eastAsia="仿宋_GB2312"/>
                <w:sz w:val="24"/>
                <w:b/>
              </w:rPr>
              <w:t>模型选择：需采用成熟、权威的城市内涝模型，模型需具备降雨产汇流计算、管网水力模拟、地表积水模拟等功能；</w:t>
            </w:r>
          </w:p>
          <w:p>
            <w:pPr>
              <w:pStyle w:val="null3"/>
              <w:jc w:val="both"/>
              <w:outlineLvl w:val="3"/>
            </w:pPr>
            <w:r>
              <w:rPr>
                <w:rFonts w:ascii="仿宋_GB2312" w:hAnsi="仿宋_GB2312" w:cs="仿宋_GB2312" w:eastAsia="仿宋_GB2312"/>
                <w:sz w:val="24"/>
                <w:b/>
              </w:rPr>
              <w:t>模型校准：需采用近</w:t>
            </w:r>
            <w:r>
              <w:rPr>
                <w:rFonts w:ascii="仿宋_GB2312" w:hAnsi="仿宋_GB2312" w:cs="仿宋_GB2312" w:eastAsia="仿宋_GB2312"/>
                <w:sz w:val="24"/>
                <w:b/>
              </w:rPr>
              <w:t>5年内至少2次典型暴雨内涝事件的实测数据（积水深度、水位变化等）进行模型率定，校准后的模型模拟误差需控制在2</w:t>
            </w:r>
            <w:r>
              <w:rPr>
                <w:rFonts w:ascii="仿宋_GB2312" w:hAnsi="仿宋_GB2312" w:cs="仿宋_GB2312" w:eastAsia="仿宋_GB2312"/>
                <w:sz w:val="24"/>
                <w:b/>
              </w:rPr>
              <w:t>0</w:t>
            </w:r>
            <w:r>
              <w:rPr>
                <w:rFonts w:ascii="仿宋_GB2312" w:hAnsi="仿宋_GB2312" w:cs="仿宋_GB2312" w:eastAsia="仿宋_GB2312"/>
                <w:sz w:val="24"/>
                <w:b/>
              </w:rPr>
              <w:t>%以内；</w:t>
            </w:r>
          </w:p>
          <w:p>
            <w:pPr>
              <w:pStyle w:val="null3"/>
              <w:jc w:val="both"/>
              <w:outlineLvl w:val="3"/>
            </w:pPr>
            <w:r>
              <w:rPr>
                <w:rFonts w:ascii="仿宋_GB2312" w:hAnsi="仿宋_GB2312" w:cs="仿宋_GB2312" w:eastAsia="仿宋_GB2312"/>
                <w:sz w:val="24"/>
                <w:b/>
              </w:rPr>
              <w:t>（五）编制工作目标要求</w:t>
            </w:r>
          </w:p>
          <w:p>
            <w:pPr>
              <w:pStyle w:val="null3"/>
              <w:jc w:val="both"/>
              <w:outlineLvl w:val="3"/>
            </w:pPr>
            <w:r>
              <w:rPr>
                <w:rFonts w:ascii="仿宋_GB2312" w:hAnsi="仿宋_GB2312" w:cs="仿宋_GB2312" w:eastAsia="仿宋_GB2312"/>
                <w:sz w:val="24"/>
                <w:b/>
              </w:rPr>
              <w:t>1.精准识别中心城区内涝风险区域、风险等级及关键风险点，明确内涝成因与影响范围；</w:t>
            </w:r>
          </w:p>
          <w:p>
            <w:pPr>
              <w:pStyle w:val="null3"/>
              <w:jc w:val="both"/>
              <w:outlineLvl w:val="3"/>
            </w:pPr>
            <w:r>
              <w:rPr>
                <w:rFonts w:ascii="仿宋_GB2312" w:hAnsi="仿宋_GB2312" w:cs="仿宋_GB2312" w:eastAsia="仿宋_GB2312"/>
                <w:sz w:val="24"/>
                <w:b/>
              </w:rPr>
              <w:t>2.构建适配本地水文气象、地形地貌及排水系统特性的内涝数值模型，实现不同降雨、洪水组合场景下的雨洪过程精准模拟；</w:t>
            </w:r>
          </w:p>
          <w:p>
            <w:pPr>
              <w:pStyle w:val="null3"/>
              <w:jc w:val="both"/>
              <w:outlineLvl w:val="3"/>
            </w:pPr>
            <w:r>
              <w:rPr>
                <w:rFonts w:ascii="仿宋_GB2312" w:hAnsi="仿宋_GB2312" w:cs="仿宋_GB2312" w:eastAsia="仿宋_GB2312"/>
                <w:sz w:val="24"/>
                <w:b/>
              </w:rPr>
              <w:t>3.制定可落地、可操作的防涝联排联调方案，提升城市内涝应急响应与综合防治能力；</w:t>
            </w:r>
          </w:p>
          <w:p>
            <w:pPr>
              <w:pStyle w:val="null3"/>
              <w:jc w:val="both"/>
              <w:outlineLvl w:val="3"/>
            </w:pPr>
            <w:r>
              <w:rPr>
                <w:rFonts w:ascii="仿宋_GB2312" w:hAnsi="仿宋_GB2312" w:cs="仿宋_GB2312" w:eastAsia="仿宋_GB2312"/>
                <w:sz w:val="24"/>
                <w:b/>
              </w:rPr>
              <w:t>4.形成规范完整、数据可追溯的成果体系，通过专家评审及相关部门验收，满足城市防内涝工作实际需求。</w:t>
            </w:r>
          </w:p>
          <w:p>
            <w:pPr>
              <w:pStyle w:val="null3"/>
              <w:jc w:val="both"/>
              <w:outlineLvl w:val="3"/>
            </w:pPr>
            <w:r>
              <w:rPr>
                <w:rFonts w:ascii="仿宋_GB2312" w:hAnsi="仿宋_GB2312" w:cs="仿宋_GB2312" w:eastAsia="仿宋_GB2312"/>
                <w:sz w:val="24"/>
                <w:b/>
              </w:rPr>
              <w:t>四、成果要求</w:t>
            </w:r>
          </w:p>
          <w:p>
            <w:pPr>
              <w:pStyle w:val="null3"/>
              <w:jc w:val="both"/>
              <w:outlineLvl w:val="3"/>
            </w:pPr>
            <w:r>
              <w:rPr>
                <w:rFonts w:ascii="仿宋_GB2312" w:hAnsi="仿宋_GB2312" w:cs="仿宋_GB2312" w:eastAsia="仿宋_GB2312"/>
                <w:sz w:val="24"/>
                <w:b/>
              </w:rPr>
              <w:t>所有成果需提供纸质版和电子版，纸质版一式</w:t>
            </w:r>
            <w:r>
              <w:rPr>
                <w:rFonts w:ascii="仿宋_GB2312" w:hAnsi="仿宋_GB2312" w:cs="仿宋_GB2312" w:eastAsia="仿宋_GB2312"/>
                <w:sz w:val="24"/>
                <w:b/>
              </w:rPr>
              <w:t>6份（正本2份，副本4份），电子版采用PDF格式（报告、图件）及原始格式（模型、表格等）存储于U盘或光盘，一式2份。</w:t>
            </w:r>
          </w:p>
          <w:p>
            <w:pPr>
              <w:pStyle w:val="null3"/>
              <w:jc w:val="both"/>
              <w:outlineLvl w:val="3"/>
            </w:pPr>
            <w:r>
              <w:rPr>
                <w:rFonts w:ascii="仿宋_GB2312" w:hAnsi="仿宋_GB2312" w:cs="仿宋_GB2312" w:eastAsia="仿宋_GB2312"/>
                <w:sz w:val="24"/>
                <w:b/>
              </w:rPr>
              <w:t>成果编制规范：报告章节需完整，含项目概况、基础资料分析、风险评估、方案编制等核心章节，逻辑清晰，数据详实；</w:t>
            </w:r>
          </w:p>
          <w:p>
            <w:pPr>
              <w:pStyle w:val="null3"/>
              <w:jc w:val="both"/>
              <w:outlineLvl w:val="3"/>
            </w:pPr>
            <w:r>
              <w:rPr>
                <w:rFonts w:ascii="仿宋_GB2312" w:hAnsi="仿宋_GB2312" w:cs="仿宋_GB2312" w:eastAsia="仿宋_GB2312"/>
                <w:sz w:val="24"/>
                <w:b/>
              </w:rPr>
              <w:t>原始数据可追溯：模型文件、数据表需保留计算公式和数据来源，便于核查。</w:t>
            </w:r>
          </w:p>
          <w:p>
            <w:pPr>
              <w:pStyle w:val="null3"/>
              <w:jc w:val="both"/>
              <w:outlineLvl w:val="3"/>
            </w:pPr>
            <w:r>
              <w:rPr>
                <w:rFonts w:ascii="仿宋_GB2312" w:hAnsi="仿宋_GB2312" w:cs="仿宋_GB2312" w:eastAsia="仿宋_GB2312"/>
                <w:sz w:val="24"/>
                <w:b/>
              </w:rPr>
              <w:t>五、其他要求</w:t>
            </w:r>
          </w:p>
          <w:p>
            <w:pPr>
              <w:pStyle w:val="null3"/>
              <w:ind w:firstLine="480"/>
              <w:jc w:val="both"/>
            </w:pPr>
            <w:r>
              <w:rPr>
                <w:rFonts w:ascii="仿宋_GB2312" w:hAnsi="仿宋_GB2312" w:cs="仿宋_GB2312" w:eastAsia="仿宋_GB2312"/>
                <w:sz w:val="24"/>
              </w:rPr>
              <w:t>1、严格按照本采购需求规定的关键节点完成各项服务工作，不得擅自拖延服务期；若因特殊情况需调整工期，需提前 7 个工作日向采购人提交书面申请，经采购人同意后方可调整。</w:t>
            </w:r>
          </w:p>
          <w:p>
            <w:pPr>
              <w:pStyle w:val="null3"/>
              <w:ind w:firstLine="480"/>
              <w:jc w:val="both"/>
            </w:pPr>
            <w:r>
              <w:rPr>
                <w:rFonts w:ascii="仿宋_GB2312" w:hAnsi="仿宋_GB2312" w:cs="仿宋_GB2312" w:eastAsia="仿宋_GB2312"/>
                <w:sz w:val="24"/>
              </w:rPr>
              <w:t>2、建立高效的沟通协调机制，指定专人作为项目负责人，负责与采购人的日常沟通对接，及时响应采购人的需求，反馈项目进展情况。</w:t>
            </w:r>
          </w:p>
          <w:p>
            <w:pPr>
              <w:pStyle w:val="null3"/>
              <w:ind w:left="480"/>
              <w:jc w:val="both"/>
            </w:pPr>
            <w:r>
              <w:rPr>
                <w:rFonts w:ascii="仿宋_GB2312" w:hAnsi="仿宋_GB2312" w:cs="仿宋_GB2312" w:eastAsia="仿宋_GB2312"/>
                <w:sz w:val="24"/>
              </w:rPr>
              <w:t>3、对采购人提出的紧急需求，需在 24 小时内启动响应机制，组织力量解决问题</w:t>
            </w:r>
          </w:p>
          <w:p>
            <w:pPr>
              <w:pStyle w:val="null3"/>
              <w:ind w:firstLine="480"/>
              <w:jc w:val="both"/>
            </w:pPr>
            <w:r>
              <w:rPr>
                <w:rFonts w:ascii="仿宋_GB2312" w:hAnsi="仿宋_GB2312" w:cs="仿宋_GB2312" w:eastAsia="仿宋_GB2312"/>
                <w:sz w:val="24"/>
              </w:rPr>
              <w:t>4、供应商需执行的国家相关标准、行业标准、地方标准或者其他标准、规范，则统一执行最新标准、规范，符合项目实际采购需要，符合项目实施要求。</w:t>
            </w:r>
          </w:p>
          <w:p>
            <w:pPr>
              <w:pStyle w:val="null3"/>
              <w:ind w:firstLine="480"/>
              <w:jc w:val="both"/>
            </w:pPr>
            <w:r>
              <w:rPr>
                <w:rFonts w:ascii="仿宋_GB2312" w:hAnsi="仿宋_GB2312" w:cs="仿宋_GB2312" w:eastAsia="仿宋_GB2312"/>
                <w:sz w:val="24"/>
              </w:rPr>
              <w:t>5、供应商需建立全过程质量控制体系，明确各阶段质量控制点及检查流程，确保基础资料真实、模型参数合理、评估结果精准、方案措施可行。</w:t>
            </w:r>
          </w:p>
          <w:p>
            <w:pPr>
              <w:pStyle w:val="null3"/>
              <w:ind w:firstLine="480"/>
              <w:jc w:val="both"/>
            </w:pPr>
            <w:r>
              <w:rPr>
                <w:rFonts w:ascii="仿宋_GB2312" w:hAnsi="仿宋_GB2312" w:cs="仿宋_GB2312" w:eastAsia="仿宋_GB2312"/>
                <w:sz w:val="24"/>
              </w:rPr>
              <w:t>6、供应商需配合采购人组织专家评审会，针对评审意见需在规定时间内完成修改完善，直至成果通过评审。</w:t>
            </w:r>
          </w:p>
          <w:p>
            <w:pPr>
              <w:pStyle w:val="null3"/>
              <w:ind w:firstLine="482"/>
              <w:jc w:val="both"/>
            </w:pPr>
            <w:r>
              <w:rPr>
                <w:rFonts w:ascii="仿宋_GB2312" w:hAnsi="仿宋_GB2312" w:cs="仿宋_GB2312" w:eastAsia="仿宋_GB2312"/>
                <w:sz w:val="24"/>
                <w:b/>
              </w:rPr>
              <w:t>六、验收</w:t>
            </w:r>
          </w:p>
          <w:p>
            <w:pPr>
              <w:pStyle w:val="null3"/>
              <w:ind w:firstLine="482"/>
              <w:jc w:val="both"/>
            </w:pPr>
            <w:r>
              <w:rPr>
                <w:rFonts w:ascii="仿宋_GB2312" w:hAnsi="仿宋_GB2312" w:cs="仿宋_GB2312" w:eastAsia="仿宋_GB2312"/>
                <w:sz w:val="24"/>
                <w:b/>
              </w:rPr>
              <w:t>1.项目验收</w:t>
            </w:r>
          </w:p>
          <w:p>
            <w:pPr>
              <w:pStyle w:val="null3"/>
              <w:ind w:firstLine="480"/>
              <w:jc w:val="both"/>
            </w:pPr>
            <w:r>
              <w:rPr>
                <w:rFonts w:ascii="仿宋_GB2312" w:hAnsi="仿宋_GB2312" w:cs="仿宋_GB2312" w:eastAsia="仿宋_GB2312"/>
                <w:sz w:val="24"/>
              </w:rPr>
              <w:t>供应商完成相关服务工作、出具服务成果正式文件及要求提供的其他相关资料后，进行履约验收。</w:t>
            </w:r>
          </w:p>
          <w:p>
            <w:pPr>
              <w:pStyle w:val="null3"/>
              <w:ind w:firstLine="482"/>
              <w:jc w:val="both"/>
            </w:pPr>
            <w:r>
              <w:rPr>
                <w:rFonts w:ascii="仿宋_GB2312" w:hAnsi="仿宋_GB2312" w:cs="仿宋_GB2312" w:eastAsia="仿宋_GB2312"/>
                <w:sz w:val="24"/>
                <w:b/>
              </w:rPr>
              <w:t>2.验收依据</w:t>
            </w:r>
          </w:p>
          <w:p>
            <w:pPr>
              <w:pStyle w:val="null3"/>
              <w:ind w:firstLine="480"/>
              <w:jc w:val="both"/>
            </w:pPr>
            <w:r>
              <w:rPr>
                <w:rFonts w:ascii="仿宋_GB2312" w:hAnsi="仿宋_GB2312" w:cs="仿宋_GB2312" w:eastAsia="仿宋_GB2312"/>
                <w:sz w:val="24"/>
              </w:rPr>
              <w:t>2.2.1合同文本及合同补充文件（条款）；</w:t>
            </w:r>
          </w:p>
          <w:p>
            <w:pPr>
              <w:pStyle w:val="null3"/>
              <w:ind w:firstLine="480"/>
              <w:jc w:val="both"/>
            </w:pPr>
            <w:r>
              <w:rPr>
                <w:rFonts w:ascii="仿宋_GB2312" w:hAnsi="仿宋_GB2312" w:cs="仿宋_GB2312" w:eastAsia="仿宋_GB2312"/>
                <w:sz w:val="24"/>
              </w:rPr>
              <w:t>2.2.2服务的证明文件、佐证材料；</w:t>
            </w:r>
          </w:p>
          <w:p>
            <w:pPr>
              <w:pStyle w:val="null3"/>
              <w:ind w:firstLine="480"/>
              <w:jc w:val="both"/>
            </w:pPr>
            <w:r>
              <w:rPr>
                <w:rFonts w:ascii="仿宋_GB2312" w:hAnsi="仿宋_GB2312" w:cs="仿宋_GB2312" w:eastAsia="仿宋_GB2312"/>
                <w:sz w:val="24"/>
              </w:rPr>
              <w:t>2.2.3采购文件；</w:t>
            </w:r>
          </w:p>
          <w:p>
            <w:pPr>
              <w:pStyle w:val="null3"/>
              <w:ind w:firstLine="480"/>
              <w:jc w:val="both"/>
            </w:pPr>
            <w:r>
              <w:rPr>
                <w:rFonts w:ascii="仿宋_GB2312" w:hAnsi="仿宋_GB2312" w:cs="仿宋_GB2312" w:eastAsia="仿宋_GB2312"/>
                <w:sz w:val="24"/>
              </w:rPr>
              <w:t>2.2.4供应商的响应文件；</w:t>
            </w:r>
          </w:p>
          <w:p>
            <w:pPr>
              <w:pStyle w:val="null3"/>
              <w:ind w:firstLine="480"/>
              <w:jc w:val="both"/>
            </w:pPr>
            <w:r>
              <w:rPr>
                <w:rFonts w:ascii="仿宋_GB2312" w:hAnsi="仿宋_GB2312" w:cs="仿宋_GB2312" w:eastAsia="仿宋_GB2312"/>
                <w:sz w:val="24"/>
              </w:rPr>
              <w:t>2.2.5服务内容。</w:t>
            </w:r>
          </w:p>
          <w:p>
            <w:pPr>
              <w:pStyle w:val="null3"/>
              <w:ind w:firstLine="482"/>
              <w:jc w:val="both"/>
            </w:pPr>
            <w:r>
              <w:rPr>
                <w:rFonts w:ascii="仿宋_GB2312" w:hAnsi="仿宋_GB2312" w:cs="仿宋_GB2312" w:eastAsia="仿宋_GB2312"/>
                <w:sz w:val="24"/>
                <w:b/>
              </w:rPr>
              <w:t>3、验收流程</w:t>
            </w:r>
          </w:p>
          <w:p>
            <w:pPr>
              <w:pStyle w:val="null3"/>
              <w:ind w:firstLine="480"/>
              <w:jc w:val="both"/>
            </w:pPr>
            <w:r>
              <w:rPr>
                <w:rFonts w:ascii="仿宋_GB2312" w:hAnsi="仿宋_GB2312" w:cs="仿宋_GB2312" w:eastAsia="仿宋_GB2312"/>
                <w:sz w:val="24"/>
              </w:rPr>
              <w:t>成果提交：供应商完成全部服务成果后，向采购人提交验收申请报告，同时附上完整的服务成果及相关资料（纸质版和电子版）。</w:t>
            </w:r>
          </w:p>
          <w:p>
            <w:pPr>
              <w:pStyle w:val="null3"/>
              <w:ind w:firstLine="480"/>
              <w:jc w:val="both"/>
            </w:pPr>
            <w:r>
              <w:rPr>
                <w:rFonts w:ascii="仿宋_GB2312" w:hAnsi="仿宋_GB2312" w:cs="仿宋_GB2312" w:eastAsia="仿宋_GB2312"/>
                <w:sz w:val="24"/>
              </w:rPr>
              <w:t>资料审核：采购人在收到验收申请后，对供应商提交的资料进行审核，若资料不完整或不符合要求，通知供应商在</w:t>
            </w:r>
            <w:r>
              <w:rPr>
                <w:rFonts w:ascii="仿宋_GB2312" w:hAnsi="仿宋_GB2312" w:cs="仿宋_GB2312" w:eastAsia="仿宋_GB2312"/>
                <w:sz w:val="24"/>
              </w:rPr>
              <w:t>5个工作日内补充完善。</w:t>
            </w:r>
          </w:p>
          <w:p>
            <w:pPr>
              <w:pStyle w:val="null3"/>
              <w:ind w:firstLine="480"/>
              <w:jc w:val="both"/>
            </w:pPr>
            <w:r>
              <w:rPr>
                <w:rFonts w:ascii="仿宋_GB2312" w:hAnsi="仿宋_GB2312" w:cs="仿宋_GB2312" w:eastAsia="仿宋_GB2312"/>
                <w:sz w:val="24"/>
              </w:rPr>
              <w:t>现场核查与成果评审：对服务成果进行现场核查和评审，听取供应商的成果汇报，提出验收意见。</w:t>
            </w:r>
          </w:p>
          <w:p>
            <w:pPr>
              <w:pStyle w:val="null3"/>
              <w:ind w:firstLine="480"/>
              <w:jc w:val="both"/>
            </w:pPr>
            <w:r>
              <w:rPr>
                <w:rFonts w:ascii="仿宋_GB2312" w:hAnsi="仿宋_GB2312" w:cs="仿宋_GB2312" w:eastAsia="仿宋_GB2312"/>
                <w:sz w:val="24"/>
              </w:rPr>
              <w:t>验收结论：验收小组根据资料审核、现场核查及成果评审情况，形成验收结论。验收合格的，出具验收报告；验收不合格的，明确整改要求和期限，供应商需在规定期限内完成整改并重新申请验收。</w:t>
            </w:r>
          </w:p>
          <w:p>
            <w:pPr>
              <w:pStyle w:val="null3"/>
              <w:ind w:firstLine="480"/>
              <w:jc w:val="both"/>
            </w:pPr>
            <w:r>
              <w:rPr>
                <w:rFonts w:ascii="仿宋_GB2312" w:hAnsi="仿宋_GB2312" w:cs="仿宋_GB2312" w:eastAsia="仿宋_GB2312"/>
                <w:sz w:val="24"/>
              </w:rPr>
              <w:t>最终验收：供应商完成整改后，重新提交验收申请，采购人再次组织验收，直至验收合格。若供应商未在规定期限内完成整改或整改后仍不合格，采购人有权拒绝支付剩余款项，并追究供应商的违约责任。</w:t>
            </w:r>
          </w:p>
          <w:p>
            <w:pPr>
              <w:pStyle w:val="null3"/>
              <w:ind w:firstLine="482"/>
              <w:jc w:val="both"/>
            </w:pPr>
            <w:r>
              <w:rPr>
                <w:rFonts w:ascii="仿宋_GB2312" w:hAnsi="仿宋_GB2312" w:cs="仿宋_GB2312" w:eastAsia="仿宋_GB2312"/>
                <w:sz w:val="24"/>
                <w:b/>
              </w:rPr>
              <w:t>4、验收标准</w:t>
            </w:r>
          </w:p>
          <w:p>
            <w:pPr>
              <w:pStyle w:val="null3"/>
              <w:jc w:val="both"/>
              <w:outlineLvl w:val="3"/>
            </w:pPr>
            <w:r>
              <w:rPr>
                <w:rFonts w:ascii="仿宋_GB2312" w:hAnsi="仿宋_GB2312" w:cs="仿宋_GB2312" w:eastAsia="仿宋_GB2312"/>
                <w:sz w:val="24"/>
                <w:b/>
              </w:rPr>
              <w:t>成果完整性：符合本采购需求规定的成果组成要求，无缺项、漏项；</w:t>
            </w:r>
          </w:p>
          <w:p>
            <w:pPr>
              <w:pStyle w:val="null3"/>
              <w:jc w:val="both"/>
              <w:outlineLvl w:val="3"/>
            </w:pPr>
            <w:r>
              <w:rPr>
                <w:rFonts w:ascii="仿宋_GB2312" w:hAnsi="仿宋_GB2312" w:cs="仿宋_GB2312" w:eastAsia="仿宋_GB2312"/>
                <w:sz w:val="24"/>
                <w:b/>
              </w:rPr>
              <w:t>数据准确性：基础数据真实可靠，模型计算结果精准，风险评估结论科学合理；</w:t>
            </w:r>
          </w:p>
          <w:p>
            <w:pPr>
              <w:pStyle w:val="null3"/>
              <w:jc w:val="both"/>
              <w:outlineLvl w:val="3"/>
            </w:pPr>
            <w:r>
              <w:rPr>
                <w:rFonts w:ascii="仿宋_GB2312" w:hAnsi="仿宋_GB2312" w:cs="仿宋_GB2312" w:eastAsia="仿宋_GB2312"/>
                <w:sz w:val="24"/>
                <w:b/>
              </w:rPr>
              <w:t>方案可行性：防涝联排联调方案符合渭南市实际情况，技术可行、经济合理、便于操作；</w:t>
            </w:r>
          </w:p>
          <w:p>
            <w:pPr>
              <w:pStyle w:val="null3"/>
              <w:jc w:val="both"/>
              <w:outlineLvl w:val="3"/>
            </w:pPr>
            <w:r>
              <w:rPr>
                <w:rFonts w:ascii="仿宋_GB2312" w:hAnsi="仿宋_GB2312" w:cs="仿宋_GB2312" w:eastAsia="仿宋_GB2312"/>
                <w:sz w:val="24"/>
                <w:b/>
              </w:rPr>
              <w:t>规范符合性：严格执行国家、行业及地方相关标准规范，报告编制、图件制作符合规定格式；</w:t>
            </w:r>
          </w:p>
          <w:p>
            <w:pPr>
              <w:pStyle w:val="null3"/>
              <w:jc w:val="both"/>
              <w:outlineLvl w:val="3"/>
            </w:pPr>
            <w:r>
              <w:rPr>
                <w:rFonts w:ascii="仿宋_GB2312" w:hAnsi="仿宋_GB2312" w:cs="仿宋_GB2312" w:eastAsia="仿宋_GB2312"/>
                <w:sz w:val="24"/>
                <w:b/>
              </w:rPr>
              <w:t>可追溯性：原始数据、模型文件、计算过程可追溯，便于核查。</w:t>
            </w:r>
          </w:p>
          <w:p>
            <w:pPr>
              <w:pStyle w:val="null3"/>
              <w:jc w:val="both"/>
              <w:outlineLvl w:val="3"/>
            </w:pPr>
            <w:r>
              <w:rPr>
                <w:rFonts w:ascii="仿宋_GB2312" w:hAnsi="仿宋_GB2312" w:cs="仿宋_GB2312" w:eastAsia="仿宋_GB2312"/>
                <w:sz w:val="24"/>
                <w:b/>
              </w:rPr>
              <w:t>说明：以上内容不得负偏离，否则按无效</w:t>
            </w:r>
            <w:r>
              <w:rPr>
                <w:rFonts w:ascii="仿宋_GB2312" w:hAnsi="仿宋_GB2312" w:cs="仿宋_GB2312" w:eastAsia="仿宋_GB2312"/>
                <w:sz w:val="24"/>
                <w:b/>
              </w:rPr>
              <w:t>磋商</w:t>
            </w:r>
            <w:r>
              <w:rPr>
                <w:rFonts w:ascii="仿宋_GB2312" w:hAnsi="仿宋_GB2312" w:cs="仿宋_GB2312" w:eastAsia="仿宋_GB2312"/>
                <w:sz w:val="24"/>
                <w:b/>
              </w:rPr>
              <w:t>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项目人员配备分工明确、责任明确，结构合理，满足项目实施要求。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1.合同包括：包括本次项目所需的人工费、服务费、管理费、税金等所有费用，政策性文件规定的各项应有费用各项管理费用。 2.供应商应按照规定完成项目全部实施内容且达到合格标准。 3.供应商接受项目行业管理部门及政府有关部门的指导，接受采购人的监督。 4.供应商所拟派的工作人员，若在服务期间发生任何安全事故由供应商承担。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渭南市中心城区（临渭区、华州区和高新区）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供应商提交验收申请及成果文件； 召开验收会议，形成验收意见； 不合格成果：供应商需在 15 个工作日内完成整改，重新申请验收； 验收合格：签署《验收报告》，成果正式交付。 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根据项目完成进度支付。合同签订后采购人支付合同总价款（含税）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最终成果经采购人及相关部门验收合格，采购人支付合同总价款（含税）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供应商应具有独立承担民事责任能力且具备向采购人提供相关服务能力的企业法人、其他组织或者自然人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法定代表人参与磋商时需提供法定代表人身份证明书（附法定代表人身份证复印件）；被授权人参与磋商时需提供法定代表人授权委托书及法人身份证明书（附法定代表人及被授权人身份证复印件）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拟派项目负责人须具备水利相关专业高级及以上职称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无管控承诺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满足磋商文件实质性服务技术及商务要求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供应商承诺书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无缺陷得5分，满分25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项目组人员（除项目负责人）岗位明确、责任明确，结构合理，每配备一个人员得0.5分，最高得5分。 注：提供人员证明材料复印件，加盖单位公章，否则不得分。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人员配备中（除项目负责人），每具有一个相关专业高级职称的人员，得2分，最高得12分；每具有一个相关专业中级职称的人员得1分，最高得6分。 注：本项最高12分，提供人员证书证明材料复印件，加盖单位公章，否则不得分。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供应商具有近三年（2022年12月至今）的类似业绩（合同复印件并加盖供应商公章，以合同签订时间为准）每个计1分，最多得5分；未提供不得分。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满足磋商文件要求且最后磋商报价最低的磋商报价为评审基准价，其价格分为满分。其他供应商的价格分统一按照下列公式计算： 磋商报价得分=(评审基准价／磋商报价)×20%×100。 备注：当磋商小组认为某个供应商的报价明显低于其他通过符合性审查供应商的报价，有可能影响服务质量和不能诚信履约的，应要求该供应商在评标现场合理的时间内提供书面说明，必要时提交相关证明材料；供应商不能证明其报价合理的，供应商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 例如：评标价=最后报价×（1-15%）</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