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版本号：ZCSP-渭南市-2025-0093620251226001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2025年现代职业教育质量提升（雅园1、仕园1公寓楼粉刷维修项目）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ZCSP-渭南市-2025-00936</w:t>
      </w:r>
      <w:r>
        <w:br/>
      </w:r>
      <w:r>
        <w:br/>
      </w:r>
      <w:r>
        <w:br/>
      </w:r>
    </w:p>
    <w:p>
      <w:pPr>
        <w:pStyle w:val="null3"/>
        <w:jc w:val="center"/>
        <w:outlineLvl w:val="2"/>
      </w:pPr>
      <w:r>
        <w:rPr>
          <w:rFonts w:ascii="仿宋_GB2312" w:hAnsi="仿宋_GB2312" w:cs="仿宋_GB2312" w:eastAsia="仿宋_GB2312"/>
          <w:sz w:val="28"/>
          <w:b/>
        </w:rPr>
        <w:t>渭南技师学院</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渭南技师学院</w:t>
      </w:r>
      <w:r>
        <w:rPr>
          <w:rFonts w:ascii="仿宋_GB2312" w:hAnsi="仿宋_GB2312" w:cs="仿宋_GB2312" w:eastAsia="仿宋_GB2312"/>
        </w:rPr>
        <w:t>委托，拟对</w:t>
      </w:r>
      <w:r>
        <w:rPr>
          <w:rFonts w:ascii="仿宋_GB2312" w:hAnsi="仿宋_GB2312" w:cs="仿宋_GB2312" w:eastAsia="仿宋_GB2312"/>
        </w:rPr>
        <w:t>2025年现代职业教育质量提升（雅园1、仕园1公寓楼粉刷维修项目）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ZCSP-渭南市-2025-00936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2025年现代职业教育质量提升（雅园1、仕园1公寓楼粉刷维修项目）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2栋公寓楼内部粉刷面积共约3.2万余平方米，做法为铲除楼内原墙面涂料和基层，对破损墙面进行修补，所有墙面防水腻子满批2遍，乳胶漆涂料粉刷2遍等；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采购包1（2025年现代职业教育质量提升（雅园1、仕园1公寓楼粉刷维修项目））：属于专门面向中小企业采购。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1、企业资质：供应商须具备建筑工程施工总承包三级（含三级）及以上资质或建筑装修装饰工程专业承包二级及以上资质，并具有有效的安全生产许可证；</w:t>
      </w:r>
    </w:p>
    <w:p>
      <w:pPr>
        <w:pStyle w:val="null3"/>
      </w:pPr>
      <w:r>
        <w:rPr>
          <w:rFonts w:ascii="仿宋_GB2312" w:hAnsi="仿宋_GB2312" w:cs="仿宋_GB2312" w:eastAsia="仿宋_GB2312"/>
        </w:rPr>
        <w:t>2、项目经理：拟派项目经理须具有建筑工程二级及以上注册建造师资格并具有有效的安全生产考核合格证（建安B证），且无在建工程；</w:t>
      </w:r>
    </w:p>
    <w:p>
      <w:pPr>
        <w:pStyle w:val="null3"/>
      </w:pPr>
      <w:r>
        <w:rPr>
          <w:rFonts w:ascii="仿宋_GB2312" w:hAnsi="仿宋_GB2312" w:cs="仿宋_GB2312" w:eastAsia="仿宋_GB2312"/>
        </w:rPr>
        <w:t>3、法定代表人授权书/法定代表人身份证明书：法定代表人参与磋商时需提供法定代表人身份证明书；被授权人参与磋商时需提供法定代表人身份证明书、法定代表人授权委托书；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渭南市开发区东新街15号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渭南技师学院负责岗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13609239089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渭南技师学院</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渭南技师学院</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联系人：刘世龙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797,838.75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2025年现代职业教育质量提升（雅园1、仕园1公寓楼粉刷维修项目）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标的名称：2025年现代职业教育质量提升（雅园1、仕园1公寓楼粉刷维修项目）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2栋公寓楼内部粉刷面积共约3.2万余平方米，做法为铲除楼内原墙面涂料和基层，对破损墙面进行修补，所有墙面防水腻子满批2遍，乳胶漆涂料粉刷2遍等；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《施工现场临时用电安全技术规范》（JGJ46-88） 《建筑电气工程施工质量验收规范》GB50303-2015 《建设工程施工现场供用电安全规范》（GB 50194-93） 《建设施工安全检查标准》（JGJ59-99） 《建筑与市政工程无障碍通用规范》 GB55019-2021 《工程建设标准强制性条文》（2013年版） 《建筑节能与可再生能源利用通用规范》（GB 55015-2021）； 《安全防范工程通用规范》 （ GB 55029-2022） 《工程建设标准强制性条文》（2013年版） 《建筑节能与可再生能源利用通用规范》（GB 55015-2021）； 《安全防范工程通用规范》 （GB 55029-2022）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商务响应：①工期：30日历天；②质量标准：合格，达到国家现行技术标准；③工程地点：渭南技师学院；④付款方式：本工程进度付款依据工程进度情况按比例将进度应付款支付给供应商。工程竣工验收后，经结算审计，最终的结算审定金额为本项目的最终合同价款，结算审计结束后，进度款拨付至结算审定金额的90%；工程竣工验收一年内采购人付清全部合同价款；⑤合同条款：具体详见合同附件；⑥技术、服务标准和要求：具体详见本章“3.1技术、服务标准和要求”；⑦质保期：自竣工验收合格之日起一年。 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4、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供应商须具备建筑工程施工总承包三级（含三级）及以上资质或建筑装修装饰工程专业承包二级及以上资质，并具有有效的安全生产许可证；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拟派项目经理须具有建筑工程二级及以上注册建造师资格并具有有效的安全生产考核合格证（建安B证），且无在建工程；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供应商名称应与营业执照、资质证书、安全生产许可证及报名时相一致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技术服务合同条款及其他商务要求应答表.docx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 ③相关技术措施； ④重点难点工程分析及解决措施。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①文明施工及环境保护管理措施； ②防尘降噪措施；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（1）人员配备：拟投入的项目管理机构人员结构合理、岗位职责明确，除项目经理外，项目管理机构配备7人以上（含7人）得7分，每少1人扣1分，扣完为止，本项最高得7分； （2）人员职称：项目管理人员中，每具有一个工程类高级职称人员得1.5分，每具有一个工程类中级职称人员得1分,本项最高得3分。 注：须提供人员相关证件，不提供或完全背离评审标准得0分。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供应商近三年（2022年12月至今）每具有1项类似业绩得1分，最多得5分，未提供得0分。（提供合同扫描件加盖公章，以合同签订时间为准）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详见附件：合同-2025年现代职业教育质量提升（雅园1、仕园1公寓楼粉刷维修项目）.docx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