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41828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分项报价表</w:t>
      </w:r>
    </w:p>
    <w:tbl>
      <w:tblPr>
        <w:tblStyle w:val="6"/>
        <w:tblW w:w="85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030"/>
        <w:gridCol w:w="716"/>
        <w:gridCol w:w="2779"/>
        <w:gridCol w:w="576"/>
        <w:gridCol w:w="756"/>
        <w:gridCol w:w="756"/>
        <w:gridCol w:w="936"/>
      </w:tblGrid>
      <w:tr w14:paraId="0C200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3C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5F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AF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器材名称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D6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9E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5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D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5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是否进口</w:t>
            </w:r>
          </w:p>
        </w:tc>
      </w:tr>
      <w:tr w14:paraId="0DF67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60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滑雪登山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2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796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板芯材质：白桦木/秸秆纤维/蜂窝铝；‌板底材质:超高分子量聚乙烯；极致轻量化材料；技术：板腰扭转刚度需维持在400-460Nm²区间，确保陡坡滑行稳定性‌；振动阻尼‌：一阶振动频率14-15Hz，阻尼比0.18%-0.25%，减少高速滑行时的能量损耗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3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5A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97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6D706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46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1C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7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登山固定器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6E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符合参赛要求；材质:塑料/铸铁； 技术:旋转固定技术系统/旋转锁键/无辅工具调节/双锁定装置；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3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DC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A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AE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1A70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20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57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B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登山滑雪鞋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BD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符合参赛要求；模塑热定型设计解决脚部痛点；碳纤维靴帮稳定技术；碳纤维一体控制扛扭力技术；拉扣绑带；保暖防水鞋面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3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29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EF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5E9D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9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A4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D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登山滑雪专用碳纤维滑雪杖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36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符合参赛要求；极致轻量化设计/耐用碳纤维设计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6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E8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47B87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279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5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登山止滑带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A7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符合参赛要求；材质：橡胶/轻易止滑系统；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C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72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76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24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64A67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EE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9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B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登山滑雪专用背包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F7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符合参赛要求；材质：尼龙/聚酯纤维 自带雪崩自救系统/位置卡/信标定位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F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59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2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A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62DB0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B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14E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D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登山滑雪专用头盔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E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符合参赛要求；材质：塑料/高密度泡沫/尼龙聚酯纤维；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3A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2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5B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5E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EF61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1E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7B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A8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0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符合参赛要求；雪裤全侧拉链，材质：采用膨体聚四氟乙烯尼龙/聚酯纤维/‌PU/TPU涂层‌防水性‌：‌透气性‌：透湿指数应≥5000g/m²/24h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E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D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8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1E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05FD0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31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AE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D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防割速干内衣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3B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符合参赛要求；它采用高强度纤维材料制成,芳纶、超高分子量聚乙烯等,以确保其抗切割、抗磨损的能力。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E8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B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2D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0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6343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A5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B5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E6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防割防风速干面罩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BC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符合参赛要求；它采用高强度纤维材料制成,芳纶、超高分子量聚乙烯等。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4C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9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54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8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732C7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3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C7D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C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速干秋季体能防割训练服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3C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符合参赛要求；采用‌聚酯纤维（涤纶）/氨纶混纺，优先选择聚酯纤维或尼龙基材。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1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CD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C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71B65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1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9C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6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竞技压缩长筒保暖美利奴羊毛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A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22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9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0E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34BDE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C9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7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高山滑雪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2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竞技大回转滑雪板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A4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 三明治侧壁 白桦木木芯 | 减震竞赛板头|板头板尾板底快速抓雪条|竞技垫板| 回转半径30 m以上|固定器磅数30磅以上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A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7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F1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EC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531B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D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A2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6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竞技小回转滑雪板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C1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 三明治侧壁白桦木木芯 |减震竞赛板头|板头板尾板底快速抓雪条|竞技垫板| 回转半径12.5 m 固定器磅数30磅以上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D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35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31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64C36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01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B0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1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纯竞技130滑雪鞋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C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符合参赛要求；130硬度| 0.5°–1° 雪鞋倾角|鞋底垫片 |扰流板| 驱动器 | 齿形卡扣|内胆可分为两版本舒适和硬挺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A9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85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89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8EED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1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2B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1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D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符合参赛要求；材质：‌凯夫拉纤维/防水皮革或真皮；技术：护腕内嵌于手套内衬与外层之间，可有效降低腕部扭伤和骨折风险‌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4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1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6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0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8A60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3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9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D8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滑雪头盔配回转护额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7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符合参赛要求；材质：‌塑料/碳纤维/高密度再生泡沫；技术：旋转冲击防护系统/碳纤维外壳，兼顾轻量化与耐用性通风设计‌：配备多个可调通风口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3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B4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C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02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D2C3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F0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20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D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大回转碳纤维护臂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04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符合参赛要求；材质：EVA 泡沫/橡胶/聚氨酯/碳纤维；技术：受冲击时瞬间分散压力，防护性能提升，适合高频次使用‌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28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5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0C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7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5239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DF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CC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回转碳纤维护腿板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8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符合参赛要求；材质：EVA 泡沫/橡胶/聚氨酯/碳纤维；技术：受冲击时瞬间分散压力，防护性能提升，适合高频次使用‌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1F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7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1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60762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0E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E6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回转碳纤维雪仗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7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符合参赛要求；材质：低温塑料/尼龙/碳纤维；技术：碳纤维与树脂工艺结合，杖尖钢质，抗断裂性强握把‌：双成分材料握把，防扭曲变形且贴合手型。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A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7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C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0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AAC5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03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8D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大回转碳纤维雪仗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7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符合参赛要求；材质：低温塑料/尼龙/碳纤维；技术：碳纤维与树脂工艺结合，杖尖钢质，抗断裂性强握把‌：双成分材料握把，防扭曲变形且贴合手型。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3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DE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0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C5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756C2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C2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D5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4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E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符合参赛要求；雪裤全侧拉链，材质：采用膨体聚四氟乙烯尼龙/聚酯纤维涂层‌防水性‌：15000mm，‌透气性‌：透湿指数应≥5000g/m²/24h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B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05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1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E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4B78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4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78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6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防割速干内衣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B2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符合参赛要求；它采用高强度纤维材料制成,芳纶、超高分子量聚乙烯等,以确保其抗切割、抗磨损的能力。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8D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D1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86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E102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55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E3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防割防风速干面罩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17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符合参赛要求；它采用高强度纤维材料制成,芳纶、超高分子量聚乙烯等,以确保其抗切割、抗磨损的能力。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4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F7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E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1A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4B64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C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0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3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速干秋季体能防割训练服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22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符合参赛要求；采用‌聚酯纤维（涤纶）/氨纶混纺优先选择聚酯纤维或尼龙基材。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9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8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67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CD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0A632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5C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B8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6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B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竞技压缩长筒保暖美利奴羊毛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2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53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8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EB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5A50A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B0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84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单板滑雪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D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平行世界杯纯竞技大回转滑雪板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3B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符合参赛要求；单板：白杨木、铝钛合金夹层/三明治侧壁、减震系统、保护尾/摇臂、底盘石磨处理。</w:t>
            </w:r>
          </w:p>
          <w:p w14:paraId="712F5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固定器：7075铝板材、不锈钢提手；适配靴子、玻纤增强尼龙材料；所有五金为不锈钢材质。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18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4E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8B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6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7321C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2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F4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E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平行世界杯纯竞技回转滑雪板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C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符合参赛要求；单板：单板：白杨木、铝钛合金夹层/三明治侧壁、减震系统、保护尾/摇臂、底盘石磨处理。</w:t>
            </w:r>
          </w:p>
          <w:p w14:paraId="0A0BA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固定器：7075铝板材、不锈钢提手；适配靴子、玻纤增强尼龙材料；所有五金为不锈钢材质。。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C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11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5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716D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7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E1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0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单板世界杯纯竞技130滑雪鞋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2C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符合参赛要求；材质：‌塑料/尼龙聚酯纤维/碳纤维；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81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D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79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8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F3E0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AB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AE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滑雪头盔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E4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符合参赛要求；材质：‌塑料/碳纤维/高密度再生泡沫；技术：冲击防护系统/碳纤维外壳，兼顾轻量化与耐用性通风设计‌：配备多个可调可调通风口，双重安全认证CE及ASTM。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A9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75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1573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0C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EC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68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竞技滑雪手套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F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符合参赛要求；材质：‌凯夫拉纤维/防水皮革或真皮；技术：护腕系统内嵌于手套内衬与外层之间，可有效降低腕部扭伤和骨折风险‌。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9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E5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B0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DC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7029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21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E4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C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回转碳纤维护腿板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A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符合参赛要求；材质：EVA 泡沫/橡胶/聚氨酯/碳纤维；技术：受冲击时瞬间分散压力，防护性能提升，适合高频次使用‌。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7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9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B0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02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DD1A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6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8C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4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高山滑雪内穿护甲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6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符合参赛要求；材质：D3O智能分子/耐磨尼龙/；技术：‌动态防护‌：通过材料相变特性实现冲击力分散，减少脊椎损伤风险‌。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8A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2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8C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F0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06D8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E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ED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高山滑雪内穿护背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7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符合参赛要求；材质：D3O智能分子/耐磨尼龙/；技术：‌动态防护‌：通过材料相变特性实现冲击力分散，减少脊椎损伤风险‌。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9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1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C1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5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975F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5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10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4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72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符合参赛要求；雪裤全侧拉链，材质：采用膨体聚四氟乙烯尼龙/聚酯纤维/‌PU/TPU涂层‌防水性‌：15000mm，‌透气性‌：透湿指数应≥5000g/m²/24h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B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4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CE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14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F0C8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4C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DA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94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防割速干内衣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符合参赛要求；它采用高强度纤维材料制成,芳纶、超高分子量聚乙烯等,以确保其抗切割、抗磨损的能力。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E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C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9A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21DF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9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A0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防割防风速干面罩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AF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符合参赛要求；它采用高强度纤维材料制成,芳纶、超高分子量聚乙烯等,以确保其抗切割、抗磨损的能力。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82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98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97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6D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763C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EF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7B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6C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速干秋季体能防割训练服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70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符合国际雪联标准；采用‌聚酯纤维（涤纶）/氨纶混纺，优先选择聚酯纤维或尼龙基材。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4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B6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B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00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587E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50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D6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3F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A4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竞技压缩长筒保暖美利奴羊毛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4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7B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B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2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33B3E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1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09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越野滑雪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E0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竞技传统式越野滑雪板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F4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符合参赛要求；竞技板底结构；预施板底保护蜡；板芯超轻结构，高强度和最轻量化碳纤维；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9A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4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82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F9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0D0B9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F7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AB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A1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竞技传统式固定器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4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符合参赛要求；材质:塑料/铸铁； 技术:旋转固定技术系统/旋转锁键/无辅工具调节/双锁定装置；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E3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35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27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F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E04E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C0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A7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4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竞技自由式越野滑雪板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符合参赛要求；竞技板底分子结构；复合超轻压层；预施板底保护蜡；超轻板芯结构，高强度和最轻量化碳纤维；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E9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D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B3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9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04D4F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9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58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3D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竞技自由式固定器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1A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符合参赛要求；材质:塑料/铸铁； 技术:旋转固定技术系统/旋转锁键/无辅工具调节/双锁定装置；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C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A7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9D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488AC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C3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76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竞技滑雪杖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C8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轻质碳纤维杆体；越野滑雪专用杖尖。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7D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86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EE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3E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35699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0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2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B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竞技双追鞋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6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模塑热定型设计；鞋面耐寒防水材料，大底+后跟专业一体化碳纤维设计，碳纤维护踝，防水拉链；靴胆保暖干燥透气材料；人体工程学竞技鞋垫；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F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A9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97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8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18548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4E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03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竞技传统鞋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08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模塑热定型设计；鞋面耐寒防水材料，大底+后跟专业一体化碳纤维设计，防水拉链；靴胆保暖干燥透气材料；人体工程学竞技鞋垫；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3A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C5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44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F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684CC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5F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31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竞技自由鞋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37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模塑热定型设计；鞋面耐寒防水材料，大底+后跟专业一体化碳纤维设计，碳纤维护踝，防水拉链；靴胆保暖干燥透气材料；人体工程学竞技鞋垫；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FE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0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37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6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26012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0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1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F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固体滑雪蜡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3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无氟爆发固体蜡。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6E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C3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2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0E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70F62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33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3D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1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粉状腊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4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无氟极速粉末蜡。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B9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7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9D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17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469F8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44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49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3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打腊电熨斗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F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数码运动上蜡熨斗。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4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89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70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6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27A70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3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D8D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B8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打腊刮板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6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软塑胶刮刀，专业越野刮蜡板。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06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A6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E6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05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0CE36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D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05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9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比赛服装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D0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莱卡速干面料，防水拉链，领口透气吸汗材料，袖口收紧防松带，腋下后背透气结构，裤腿收紧防松带，膝盖加厚层，加宽松紧腰带加绑带。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9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BA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5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A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30FB2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F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0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领奖服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CD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CA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材料：面布：聚酯纤维，里布：聚酯纤维，胆料：聚酯纤维，鸭绒更蓬松，更保暖，表面拒水面料抵御轻雨轻雪。根据采购方要求印字。尺码从儿童到成人统一样式。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BA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23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6A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2E001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05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18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滑雪帽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B3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莱卡步加绒，具有防泼水功能，具有一定保暖性能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BF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66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A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9C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F09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9E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冬季两项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7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激光枪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5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1.产品采用符合 UIPM 标准的激光发射器模块，电子扳机脉冲发射，脉冲宽度＜20ms，重复频率≤4Hz，激光发射与扳机击发时间同步，延时小于 10ms，确保射击的精准与稳定。2.击发后发射可见红激光，波长为 650nm±5nm，光束功率 3 - 3.5mW，发散角小于 1.5mrad，符合国际一类安全激光认证及欧洲 EN60825 - 1:2014 标准，不会对皮肤和眼睛造成伤害。3.靶机通过自带的 Zigbee 遥控器可实现复位、配置等操作，操作简便灵活。4.通过 EMC 电磁兼容认证，报靶符合 IBU 标准，采用翻盖作为中靶指示，中靶翻盖延时小于 200ms，五个靶孔全部击中后默认 30 秒自动复位，复位时间也可通过遥控器进行配置，确保报靶的准确性与及时性。5.靶机左右宽470mm*前后长610mm*高1520mm6.立姿靶孔中心高度1400mm，靶孔直径35mm，孔中心间距85mm7.卧姿靶孔中心高度350mm，靶孔直径13mm，孔中心间距85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B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5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CD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4E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6E61C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1E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EC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2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激光枪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D0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1.产品采用符合 UIPM 标准的激光发射器模块，电子扳机脉冲发射，脉冲宽度＜20ms，重复频率≤4Hz，激光发射与扳机击发时间同步，延时小于 10ms，确保射击的精准与稳定。2.击发后发射可见红激光，波长为 650nm±5nm，光束功率 3 - 3.5mW，发散角小于 1.5mrad，符合国际一类安全激光认证及欧洲 EN60825 - 1:2014 标准，不会对皮肤和眼睛造成伤害。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9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80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59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8C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79404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0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6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护具（全套）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0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1，护胸：结构：多块吸震材料保护设计；肩壳为模具射出成型保护壳；胸部：高密度吸震材质减轻对抗的撞击力度深度保护；背部：高密度吸震材质多重保护，内里：柔软、透气、吸汗、快干材质。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，冰球防摔裤：面料：采用高密度尼龙面料,单面做防水透气处理；大腿保护垫：三片式压模成型保护片，保护片两面都有增加吸震绵,保护更全面,运动更灵；臀部保护：臀部多重保护分段式切片压模版成型保护片，外加保护绵,内加吸震绵；腰部保护：腰部三段式模压成型保护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3，护肘：护肘壳为一体注塑成型,表面包裹吸震材质。绑带有效固定。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4，护膝：护膝壳：边缘射出成型,膝盖保护处厚度增加；内衬：内衬吸震材质，有效缓冲外力撞击；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外衬：使用棉双面贴合透气绒布,接触皮肤更柔软舒适,可拆洗设计；方便使用后清洗,有抗菌防臭处理。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5，冰球头盔：外壳：可调节高密度聚乙烯外壳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内衬：记忆海绵内衬，缓冲塑性。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6，冰球手套：材料：超轻聚醋；保护：单密度泡绵大拇指符合人体工学紧锁手指；手掌轻柔超细纤维；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袖口二片式方便手腕活动；手指多段式手指保护装置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7，拉杆包：材质：耐磨牛津布+聚醋纤维；拉链侧袋设计可放置换洗衣物等；口袋通风以优化水分去除；带有单独的拉手两侧和未端都有提手；透明标识袋。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9E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EC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7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7A7FA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5F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73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1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冰球杆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2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杆身：碳纤维+玻璃纤维；结构：圆轴结构方便手部姿势调整；击点：超低击点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76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0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0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9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03098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2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00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9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守门员护具（全套）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2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1，头盔：ABS材质，空冲击，可调节设计，内衬吸震棉保护，不锈钢面罩；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2，护胸：前胸多种保护，轻量化多孔透气设计，粘贴卡扣快穿设计，内里抗菌防臭材料；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3，抓手：外掌耐磨合成革材料，双层保护，内填充超轻吸震材料，内里柔软材料；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4，冰球防摔裤：面料防水尼龙布，内里透气快干布料，内部填充PE保护片及吸震材料；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5，护腿：耐磨超前面料，内填充超轻吸震材料，多层填充设计，全方位保护；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6，护裆：护裆壳PE射出边缘包软胶，护裆材料透气舒适，延展性好；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7，护脖：复合材料制成，内部有缓冲垫，专门保护脆弱的喉结和气管，魔术贴设计可调节尺寸。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8，挡板手套：合成材料制成，极强耐用性，内部的绳索或弹力网结构，影响手感和控球感，手背、手指和拇指都有硬质防护板，防止被射门击伤。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，吊裤肩带：将护胸（上躯干保护）和护裆/吊裤（下躯干和腿部保护）连接在一起，防止在剧烈移动（如蝴蝶式扑救、快速起身）时护胸向上翻起或移位，确保保护无死角，同时帮助将吊裤和护腿的一部分重量分担到肩膀上，减轻腰部的负担，使守门员在长时间比赛中更轻松。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10，护腿板：耐磨超前复合面料，提供抗冲击和耐磨性，内填充超轻吸震材料，吸收和分散冲击力，全方位保护。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11，拉杆包：材质耐磨牛津布+聚醋纤维；拉链侧袋设计可放置换洗衣物等；口袋通风以优化水分去除；带有单独的拉手两侧和未端都有提手；透明标识袋。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D4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D4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8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A5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5F56C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8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FF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8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守门员球杆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6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重量轻、高强度、高硬度碳纤维材质。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A0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D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FF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B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4BC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7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A1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2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护齿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B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1.6mm超薄，分儿童、青年、成人三个码数，适用于冰球等剧烈运动。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D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E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2D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5D4EA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5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47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6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冰球衫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9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100%聚酯纤维，可定制颜色、尺寸、号码、姓名。深色、浅色各一套，具体颜色样式需要另行确定。包括护腿袜子。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4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92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7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74742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68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B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速度滑冰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49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脚型鞋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0C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鞋面采用一体防风阻超级纤维材料拉链开合包裹。2，鞋内里采用整张皮革包裹，踝骨处牛皮包裹。3，鞋舌，踝骨采用厚EV乳胶回力。4，鞋底采用凯夫拉+干式碳纤维材料压铸成型。重量≤280克（每只）。5，按照运动员脚型灌注石膏或3D扫描脚型数据。6，安装冰刀支点准确。可以匹配国际任何品牌的冰刀产品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1D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F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18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BA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74725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4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0E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C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速滑冰刀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A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管的材料:钢；冰刀钢片的材料:双金属；冰刀厚度1.10-1.15mm,冰刀钢片硬度:66-68 HRC；冰刀加工工艺:激光焊接；刀管规格：椭圆形刀管；支架:黑色桥支架， 材料是7075高强度航空铝材。弹簧：螺旋状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E9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8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57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194CB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6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97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A1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速滑连体服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D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1，弹性莱卡面料+数码印花；2，大腿，后背主体材料高弹网洞贴合耐低温PU材料；3，全身拼接流线立体剪裁缝合，；4，压缩包裹技术缓解疲劳 ；5:高弹力贴条工艺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7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C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0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75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F785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AC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C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速滑刀架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49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全铝合金材料加工成型，氧化彩色外观；2，左右夹扣分别R/L显示。夹刀刃处一侧平直夹口，另一侧弧度夹口。3，铝合金连接杆，尺寸刻度清晰。4，支架底座有可调节高度的橡胶底脚。5，主支架中心点镶嵌水平仪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2A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B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04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D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6B28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55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EC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油石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BE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1，黑色机体铝合金板材，厚度大于等于5MM；2，中间表面贴合合金沙砾形成研磨表面贴合。3，磨片布局均匀排列点状高硬度合金沙砾。4，单面研磨面颗粒可选择:140# &amp;400、#600# &amp;1200目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0A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4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1D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2F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69106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B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5D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0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收刃石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14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1，黑色机体铝合金板材。2，中间表面贴合合金沙砾形成研磨表面贴合。3，双面研磨面颗粒600/1200目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B6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4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E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9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允许</w:t>
            </w:r>
          </w:p>
        </w:tc>
      </w:tr>
      <w:tr w14:paraId="3D09E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C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BBD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越野滑雪滑轮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15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自由轮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74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支架：碳纤维材质；轮子：铝合金轮芯，橡胶轮；固定器：高强度耐寒尼龙+高强度钢，单扣、NNN结构、双槽，可调节尺码；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90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E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82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1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0183C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tbl>
            <w:tblPr>
              <w:tblStyle w:val="7"/>
              <w:tblW w:w="445" w:type="dxa"/>
              <w:tblInd w:w="56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5"/>
            </w:tblGrid>
            <w:tr w14:paraId="2A258C1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" w:hRule="atLeast"/>
              </w:trPr>
              <w:tc>
                <w:tcPr>
                  <w:tcW w:w="445" w:type="dxa"/>
                  <w:tcBorders>
                    <w:top w:val="nil"/>
                    <w:bottom w:val="nil"/>
                    <w:right w:val="nil"/>
                  </w:tcBorders>
                </w:tcPr>
                <w:p w14:paraId="64F25C8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vertAlign w:val="baseline"/>
                      <w:lang w:val="en-US" w:eastAsia="zh-CN" w:bidi="ar"/>
                    </w:rPr>
                  </w:pPr>
                </w:p>
              </w:tc>
            </w:tr>
          </w:tbl>
          <w:p w14:paraId="108E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A98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自由鞋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F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模塑热定型设计；鞋面耐寒防水材料，大底+后跟专业一体化碳纤维设计，碳纤维护踝，防水拉链；靴胆保暖干燥透气材料；人体工程学竞技鞋垫；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18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D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49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5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</w:tr>
      <w:tr w14:paraId="6E1D8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8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0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cs="宋体" w:asciiTheme="minorEastAsia" w:hAnsiTheme="minorEastAsia"/>
                <w:color w:val="auto"/>
                <w:szCs w:val="21"/>
              </w:rPr>
              <w:t>合计报价</w:t>
            </w:r>
            <w:r>
              <w:rPr>
                <w:rFonts w:hint="eastAsia" w:cs="宋体" w:asciiTheme="minorEastAsia" w:hAnsiTheme="minorEastAsia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color w:val="auto"/>
                <w:szCs w:val="21"/>
                <w:lang w:val="en-US" w:eastAsia="zh-CN"/>
              </w:rPr>
              <w:t>元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5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FD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 w14:paraId="4B95455F">
      <w:pPr>
        <w:widowControl/>
        <w:tabs>
          <w:tab w:val="left" w:pos="296"/>
        </w:tabs>
        <w:spacing w:line="360" w:lineRule="auto"/>
        <w:ind w:firstLine="420" w:firstLineChars="200"/>
        <w:jc w:val="left"/>
        <w:rPr>
          <w:rFonts w:hint="eastAsia" w:asciiTheme="minorEastAsia" w:hAnsiTheme="minorEastAsia"/>
          <w:color w:val="auto"/>
          <w:lang w:eastAsia="zh-CN"/>
        </w:rPr>
      </w:pPr>
      <w:r>
        <w:rPr>
          <w:rFonts w:hint="eastAsia" w:asciiTheme="minorEastAsia" w:hAnsiTheme="minorEastAsia"/>
          <w:color w:val="auto"/>
          <w:lang w:eastAsia="zh-CN"/>
        </w:rPr>
        <w:tab/>
      </w:r>
    </w:p>
    <w:p w14:paraId="6DCD7D38">
      <w:pPr>
        <w:widowControl/>
        <w:tabs>
          <w:tab w:val="left" w:pos="296"/>
        </w:tabs>
        <w:spacing w:line="360" w:lineRule="auto"/>
        <w:ind w:firstLine="420" w:firstLineChars="200"/>
        <w:jc w:val="left"/>
        <w:rPr>
          <w:rFonts w:hint="eastAsia" w:cs="Times New Roman" w:asciiTheme="minorEastAsia" w:hAnsiTheme="minorEastAsia"/>
          <w:b/>
          <w:bCs/>
          <w:caps/>
          <w:color w:val="auto"/>
          <w:sz w:val="20"/>
          <w:szCs w:val="20"/>
        </w:rPr>
      </w:pPr>
      <w:r>
        <w:rPr>
          <w:rFonts w:hint="eastAsia" w:asciiTheme="minorEastAsia" w:hAnsiTheme="minorEastAsia"/>
          <w:color w:val="auto"/>
        </w:rPr>
        <w:t>1.各</w:t>
      </w:r>
      <w:r>
        <w:rPr>
          <w:rFonts w:hint="eastAsia" w:cs="宋体" w:asciiTheme="minorEastAsia" w:hAnsiTheme="minorEastAsia"/>
          <w:color w:val="auto"/>
          <w:szCs w:val="21"/>
        </w:rPr>
        <w:t>分类</w:t>
      </w:r>
      <w:r>
        <w:rPr>
          <w:rFonts w:hint="eastAsia" w:asciiTheme="minorEastAsia" w:hAnsiTheme="minorEastAsia"/>
          <w:color w:val="auto"/>
        </w:rPr>
        <w:t>中的“</w:t>
      </w:r>
      <w:r>
        <w:rPr>
          <w:rFonts w:hint="eastAsia" w:cs="宋体" w:asciiTheme="minorEastAsia" w:hAnsiTheme="minorEastAsia"/>
          <w:color w:val="auto"/>
          <w:szCs w:val="21"/>
        </w:rPr>
        <w:t>合计报价</w:t>
      </w:r>
      <w:r>
        <w:rPr>
          <w:rFonts w:hint="eastAsia" w:asciiTheme="minorEastAsia" w:hAnsiTheme="minorEastAsia"/>
          <w:color w:val="auto"/>
        </w:rPr>
        <w:t>”之和须与“开标一览表”中的“投标报价”一致</w:t>
      </w:r>
      <w:r>
        <w:rPr>
          <w:rFonts w:hint="eastAsia" w:asciiTheme="minorEastAsia" w:hAnsiTheme="minorEastAsia"/>
          <w:color w:val="auto"/>
          <w:szCs w:val="21"/>
        </w:rPr>
        <w:t>。</w:t>
      </w:r>
    </w:p>
    <w:p w14:paraId="7E9660C1">
      <w:pPr>
        <w:pStyle w:val="2"/>
        <w:spacing w:after="0" w:line="360" w:lineRule="auto"/>
        <w:ind w:firstLine="420" w:firstLineChars="200"/>
        <w:rPr>
          <w:rFonts w:hint="eastAsia" w:cs="宋体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2.以上报价为供应商将设备供应至采购人指定场所、全部设备达到正常使用条件下的总价。</w:t>
      </w:r>
    </w:p>
    <w:p w14:paraId="00404BFD">
      <w:pPr>
        <w:pStyle w:val="2"/>
        <w:spacing w:after="0"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cs="宋体" w:asciiTheme="minorEastAsia" w:hAnsiTheme="minorEastAsia" w:eastAsiaTheme="minorEastAsia"/>
          <w:color w:val="auto"/>
        </w:rPr>
        <w:t>3.报价内容已包括货物的设计、制造、装卸、</w:t>
      </w:r>
      <w:r>
        <w:rPr>
          <w:rFonts w:hint="eastAsia" w:cs="宋体" w:asciiTheme="minorEastAsia" w:hAnsiTheme="minorEastAsia" w:eastAsiaTheme="minorEastAsia"/>
          <w:iCs/>
          <w:color w:val="auto"/>
        </w:rPr>
        <w:t>运杂费（含仓储费、</w:t>
      </w:r>
      <w:r>
        <w:rPr>
          <w:rFonts w:hint="eastAsia" w:cs="宋体" w:asciiTheme="minorEastAsia" w:hAnsiTheme="minorEastAsia" w:eastAsiaTheme="minorEastAsia"/>
          <w:color w:val="auto"/>
        </w:rPr>
        <w:t>运输费、</w:t>
      </w:r>
      <w:r>
        <w:rPr>
          <w:rFonts w:hint="eastAsia" w:cs="宋体" w:asciiTheme="minorEastAsia" w:hAnsiTheme="minorEastAsia" w:eastAsiaTheme="minorEastAsia"/>
          <w:iCs/>
          <w:color w:val="auto"/>
        </w:rPr>
        <w:t>保险费）、检测验收费、</w:t>
      </w:r>
      <w:r>
        <w:rPr>
          <w:rFonts w:hint="eastAsia" w:cs="宋体" w:asciiTheme="minorEastAsia" w:hAnsiTheme="minorEastAsia" w:eastAsiaTheme="minorEastAsia"/>
          <w:color w:val="auto"/>
        </w:rPr>
        <w:t>配合安装调试、培训、售后、质保、管理及税费等可能出现的一切费用。</w:t>
      </w:r>
    </w:p>
    <w:p w14:paraId="7F49BD5C">
      <w:pPr>
        <w:pStyle w:val="2"/>
        <w:rPr>
          <w:rFonts w:eastAsiaTheme="minorEastAsia"/>
          <w:color w:val="auto"/>
        </w:rPr>
      </w:pPr>
    </w:p>
    <w:p w14:paraId="55FD6489">
      <w:pPr>
        <w:rPr>
          <w:color w:val="auto"/>
        </w:rPr>
      </w:pPr>
    </w:p>
    <w:p w14:paraId="4AF2618A">
      <w:pPr>
        <w:rPr>
          <w:color w:val="auto"/>
        </w:rPr>
      </w:pPr>
    </w:p>
    <w:p w14:paraId="4F94D35C">
      <w:pPr>
        <w:snapToGrid w:val="0"/>
        <w:spacing w:line="300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法定代表人或授权代表（签字或盖章）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</w:rPr>
        <w:t>（单位公章）</w:t>
      </w:r>
    </w:p>
    <w:p w14:paraId="1B7D3D4D">
      <w:pPr>
        <w:snapToGrid w:val="0"/>
        <w:spacing w:line="300" w:lineRule="auto"/>
        <w:rPr>
          <w:rFonts w:hint="eastAsia" w:ascii="宋体" w:hAnsi="宋体"/>
          <w:color w:val="auto"/>
          <w:szCs w:val="21"/>
        </w:rPr>
      </w:pPr>
    </w:p>
    <w:p w14:paraId="2EA57463">
      <w:pPr>
        <w:snapToGrid w:val="0"/>
        <w:spacing w:line="300" w:lineRule="auto"/>
        <w:rPr>
          <w:rFonts w:hint="eastAsia" w:ascii="宋体" w:hAnsi="宋体"/>
          <w:color w:val="auto"/>
          <w:szCs w:val="21"/>
        </w:rPr>
      </w:pPr>
    </w:p>
    <w:p w14:paraId="1C6EC366">
      <w:pPr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</w:t>
      </w:r>
      <w:r>
        <w:rPr>
          <w:rFonts w:hint="eastAsia" w:ascii="宋体" w:hAnsi="宋体"/>
          <w:color w:val="auto"/>
          <w:szCs w:val="21"/>
          <w:u w:val="single"/>
        </w:rPr>
        <w:t xml:space="preserve">                    </w:t>
      </w:r>
    </w:p>
    <w:p w14:paraId="604AD3D4">
      <w:pPr>
        <w:rPr>
          <w:color w:val="auto"/>
        </w:rPr>
      </w:pPr>
      <w:r>
        <w:rPr>
          <w:color w:val="auto"/>
        </w:rPr>
        <w:t xml:space="preserve"> </w:t>
      </w:r>
    </w:p>
    <w:p w14:paraId="16EF4E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E742F"/>
    <w:rsid w:val="173E75B3"/>
    <w:rsid w:val="303E742F"/>
    <w:rsid w:val="564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  <w:jc w:val="left"/>
    </w:pPr>
    <w:rPr>
      <w:rFonts w:ascii="Times New Roman" w:hAnsi="Times New Roman" w:eastAsia="Times New Roman" w:cs="Times New Roman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31"/>
    <w:basedOn w:val="8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0">
    <w:name w:val="font51"/>
    <w:basedOn w:val="8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6171</Words>
  <Characters>6617</Characters>
  <Lines>0</Lines>
  <Paragraphs>0</Paragraphs>
  <TotalTime>2</TotalTime>
  <ScaleCrop>false</ScaleCrop>
  <LinksUpToDate>false</LinksUpToDate>
  <CharactersWithSpaces>6721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2025-09-23T03:09:00Z</dcterms:created>
  <dc:creator>方</dc:creator>
  <cp:lastModifiedBy>方</cp:lastModifiedBy>
  <dcterms:modified xsi:type="dcterms:W3CDTF">2025-12-26T12:06:00Z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54E0DA8DB9784837863BE7B3EAB4E31F_11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