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CA8E30">
      <w:pPr>
        <w:pStyle w:val="3"/>
        <w:shd w:val="clear" w:color="auto" w:fill="FFFFFF"/>
        <w:jc w:val="center"/>
        <w:rPr>
          <w:rFonts w:hint="eastAsia" w:asciiTheme="minorEastAsia" w:hAnsiTheme="minorEastAsia" w:eastAsiaTheme="minorEastAsia"/>
          <w:color w:val="auto"/>
        </w:rPr>
      </w:pPr>
      <w:bookmarkStart w:id="132" w:name="_GoBack"/>
      <w:r>
        <w:rPr>
          <w:rFonts w:asciiTheme="minorEastAsia" w:hAnsiTheme="minorEastAsia" w:eastAsiaTheme="minorEastAsia"/>
          <w:color w:val="auto"/>
          <w:sz w:val="36"/>
        </w:rPr>
        <w:t>拟签订合同文本</w:t>
      </w:r>
    </w:p>
    <w:bookmarkEnd w:id="132"/>
    <w:p w14:paraId="3FE33F49">
      <w:pPr>
        <w:widowControl/>
        <w:spacing w:line="360" w:lineRule="auto"/>
        <w:ind w:left="420" w:leftChars="200"/>
        <w:rPr>
          <w:rFonts w:hint="eastAsia" w:ascii="宋体" w:hAnsi="宋体" w:cs="宋体"/>
          <w:color w:val="000000"/>
          <w:szCs w:val="21"/>
          <w:u w:val="single"/>
        </w:rPr>
      </w:pPr>
      <w:r>
        <w:rPr>
          <w:rFonts w:asciiTheme="minorEastAsia" w:hAnsiTheme="minorEastAsia"/>
          <w:szCs w:val="21"/>
        </w:rPr>
        <w:br w:type="textWrapping"/>
      </w:r>
      <w:r>
        <w:rPr>
          <w:rFonts w:hint="eastAsia" w:ascii="宋体" w:hAnsi="宋体" w:eastAsia="宋体" w:cs="宋体"/>
          <w:b/>
          <w:bCs/>
          <w:color w:val="000000"/>
          <w:szCs w:val="21"/>
        </w:rPr>
        <w:t>甲方：</w:t>
      </w:r>
      <w:r>
        <w:rPr>
          <w:rFonts w:hint="eastAsia" w:ascii="宋体" w:hAnsi="宋体" w:eastAsia="宋体" w:cs="宋体"/>
          <w:color w:val="000000"/>
          <w:szCs w:val="21"/>
          <w:u w:val="single"/>
        </w:rPr>
        <w:t xml:space="preserve">                   </w:t>
      </w:r>
    </w:p>
    <w:p w14:paraId="0BFF9768">
      <w:pPr>
        <w:widowControl/>
        <w:spacing w:line="360" w:lineRule="auto"/>
        <w:ind w:firstLine="422" w:firstLineChars="200"/>
        <w:rPr>
          <w:rFonts w:hint="eastAsia" w:ascii="宋体" w:hAnsi="宋体" w:cs="宋体"/>
          <w:color w:val="000000"/>
          <w:szCs w:val="21"/>
        </w:rPr>
      </w:pPr>
      <w:r>
        <w:rPr>
          <w:rFonts w:hint="eastAsia" w:ascii="宋体" w:hAnsi="宋体" w:eastAsia="宋体" w:cs="宋体"/>
          <w:b/>
          <w:bCs/>
          <w:color w:val="000000"/>
          <w:szCs w:val="21"/>
        </w:rPr>
        <w:t>乙方：</w:t>
      </w:r>
      <w:r>
        <w:rPr>
          <w:rFonts w:hint="eastAsia" w:ascii="宋体" w:hAnsi="宋体" w:eastAsia="宋体" w:cs="宋体"/>
          <w:b/>
          <w:bCs/>
          <w:color w:val="000000"/>
          <w:szCs w:val="21"/>
          <w:u w:val="single"/>
        </w:rPr>
        <w:t xml:space="preserve">                    </w:t>
      </w:r>
    </w:p>
    <w:p w14:paraId="676039FC">
      <w:pPr>
        <w:widowControl/>
        <w:spacing w:line="360" w:lineRule="auto"/>
        <w:ind w:firstLine="420" w:firstLineChars="200"/>
        <w:rPr>
          <w:rFonts w:hint="eastAsia" w:ascii="宋体" w:hAnsi="宋体" w:cs="宋体"/>
          <w:color w:val="000000"/>
          <w:szCs w:val="21"/>
        </w:rPr>
      </w:pPr>
    </w:p>
    <w:p w14:paraId="719D6424">
      <w:pPr>
        <w:widowControl/>
        <w:spacing w:line="360" w:lineRule="auto"/>
        <w:ind w:firstLine="420" w:firstLineChars="200"/>
        <w:rPr>
          <w:rFonts w:hint="eastAsia" w:ascii="宋体" w:hAnsi="宋体" w:cs="宋体"/>
          <w:color w:val="000000"/>
          <w:szCs w:val="21"/>
        </w:rPr>
      </w:pPr>
      <w:r>
        <w:rPr>
          <w:rFonts w:hint="eastAsia" w:ascii="宋体" w:hAnsi="宋体" w:eastAsia="宋体" w:cs="宋体"/>
          <w:color w:val="000000"/>
          <w:szCs w:val="21"/>
        </w:rPr>
        <w:t>依照《中华人民共和国民法典》，遵循平等、自愿、公平和诚信的原则，双方就__________________事项协商一致，订立本合同。</w:t>
      </w:r>
    </w:p>
    <w:p w14:paraId="3E17B2FD">
      <w:pPr>
        <w:pStyle w:val="7"/>
        <w:widowControl/>
        <w:numPr>
          <w:ilvl w:val="0"/>
          <w:numId w:val="1"/>
        </w:numPr>
        <w:spacing w:line="360" w:lineRule="auto"/>
        <w:ind w:left="0" w:firstLine="422"/>
        <w:outlineLvl w:val="1"/>
      </w:pPr>
      <w:bookmarkStart w:id="0" w:name="_Toc23250"/>
      <w:bookmarkStart w:id="1" w:name="_Toc189843058"/>
      <w:bookmarkStart w:id="2" w:name="_Toc189843163"/>
      <w:bookmarkStart w:id="3" w:name="_Toc15588"/>
      <w:r>
        <w:t>采购概况</w:t>
      </w:r>
      <w:bookmarkEnd w:id="0"/>
      <w:bookmarkEnd w:id="1"/>
      <w:bookmarkEnd w:id="2"/>
      <w:bookmarkEnd w:id="3"/>
    </w:p>
    <w:p w14:paraId="2E3A5BC5">
      <w:pPr>
        <w:pStyle w:val="8"/>
        <w:widowControl/>
        <w:spacing w:line="360" w:lineRule="auto"/>
        <w:ind w:left="420" w:leftChars="200" w:firstLine="0" w:firstLineChars="0"/>
        <w:rPr>
          <w:u w:val="single"/>
        </w:rPr>
      </w:pPr>
      <w:bookmarkStart w:id="4" w:name="_Toc189843164"/>
      <w:bookmarkStart w:id="5" w:name="_Toc15981"/>
      <w:bookmarkStart w:id="6" w:name="_Toc189843059"/>
      <w:bookmarkStart w:id="7" w:name="_Toc15802"/>
      <w:r>
        <w:t>采购内容：</w:t>
      </w:r>
      <w:bookmarkEnd w:id="4"/>
      <w:bookmarkEnd w:id="5"/>
      <w:bookmarkEnd w:id="6"/>
      <w:bookmarkEnd w:id="7"/>
      <w:r>
        <w:rPr>
          <w:u w:val="single"/>
        </w:rPr>
        <w:t xml:space="preserve">                      </w:t>
      </w:r>
    </w:p>
    <w:p w14:paraId="0FDF4F77">
      <w:pPr>
        <w:pStyle w:val="7"/>
        <w:widowControl/>
        <w:numPr>
          <w:ilvl w:val="0"/>
          <w:numId w:val="1"/>
        </w:numPr>
        <w:spacing w:line="360" w:lineRule="auto"/>
        <w:ind w:left="0" w:firstLine="422"/>
        <w:outlineLvl w:val="1"/>
      </w:pPr>
      <w:bookmarkStart w:id="8" w:name="_Toc189843165"/>
      <w:bookmarkStart w:id="9" w:name="_Toc189843060"/>
      <w:bookmarkStart w:id="10" w:name="_Toc12391"/>
      <w:bookmarkStart w:id="11" w:name="_Toc28998"/>
      <w:r>
        <w:t>设备总价</w:t>
      </w:r>
      <w:bookmarkEnd w:id="8"/>
      <w:bookmarkEnd w:id="9"/>
      <w:r>
        <w:t> </w:t>
      </w:r>
      <w:bookmarkEnd w:id="10"/>
      <w:bookmarkEnd w:id="11"/>
    </w:p>
    <w:p w14:paraId="04F832DE">
      <w:pPr>
        <w:widowControl/>
        <w:spacing w:line="360" w:lineRule="auto"/>
        <w:ind w:firstLine="420" w:firstLineChars="200"/>
        <w:rPr>
          <w:rFonts w:hint="eastAsia" w:ascii="宋体" w:hAnsi="宋体" w:cs="宋体"/>
          <w:color w:val="000000"/>
          <w:szCs w:val="21"/>
        </w:rPr>
      </w:pPr>
      <w:r>
        <w:rPr>
          <w:rFonts w:hint="eastAsia" w:ascii="宋体" w:hAnsi="宋体" w:eastAsia="宋体" w:cs="宋体"/>
          <w:color w:val="000000"/>
          <w:szCs w:val="21"/>
        </w:rPr>
        <w:t>合同金额：人民币（大写）__________________（￥_______元）。</w:t>
      </w:r>
    </w:p>
    <w:p w14:paraId="40C42FB0">
      <w:pPr>
        <w:pStyle w:val="7"/>
        <w:widowControl/>
        <w:numPr>
          <w:ilvl w:val="0"/>
          <w:numId w:val="1"/>
        </w:numPr>
        <w:spacing w:line="360" w:lineRule="auto"/>
        <w:ind w:left="0" w:firstLine="422"/>
        <w:outlineLvl w:val="1"/>
      </w:pPr>
      <w:bookmarkStart w:id="12" w:name="_Toc189843166"/>
      <w:bookmarkStart w:id="13" w:name="_Toc189843061"/>
      <w:bookmarkStart w:id="14" w:name="_Toc18691"/>
      <w:bookmarkStart w:id="15" w:name="_Toc31783"/>
      <w:r>
        <w:t>产品质量及安装调试要求</w:t>
      </w:r>
      <w:bookmarkEnd w:id="12"/>
      <w:bookmarkEnd w:id="13"/>
      <w:r>
        <w:t> </w:t>
      </w:r>
      <w:bookmarkEnd w:id="14"/>
      <w:bookmarkEnd w:id="15"/>
    </w:p>
    <w:p w14:paraId="41663FE4">
      <w:pPr>
        <w:pStyle w:val="8"/>
        <w:widowControl/>
        <w:numPr>
          <w:ilvl w:val="0"/>
          <w:numId w:val="2"/>
        </w:numPr>
        <w:spacing w:line="360" w:lineRule="auto"/>
        <w:ind w:left="0" w:firstLine="420"/>
      </w:pPr>
      <w:bookmarkStart w:id="16" w:name="_Toc189843167"/>
      <w:bookmarkStart w:id="17" w:name="_Toc9408"/>
      <w:bookmarkStart w:id="18" w:name="_Toc21477"/>
      <w:bookmarkStart w:id="19" w:name="_Toc189843062"/>
      <w:r>
        <w:t>乙方须按标准要求向甲方提供符合国家产品质量标准的正品设备，不得以任何理由以次充好，如发现有非正品则乙方以一赔十。未经甲方同意，不得随意更改方案。并提供各设备有关品质证明书，合格证，说明书，相关软件等资料。</w:t>
      </w:r>
      <w:bookmarkEnd w:id="16"/>
      <w:bookmarkEnd w:id="17"/>
      <w:bookmarkEnd w:id="18"/>
      <w:bookmarkEnd w:id="19"/>
    </w:p>
    <w:p w14:paraId="0AADD636">
      <w:pPr>
        <w:pStyle w:val="8"/>
        <w:widowControl/>
        <w:numPr>
          <w:ilvl w:val="0"/>
          <w:numId w:val="2"/>
        </w:numPr>
        <w:spacing w:line="360" w:lineRule="auto"/>
        <w:ind w:left="0" w:firstLine="420"/>
      </w:pPr>
      <w:bookmarkStart w:id="20" w:name="_Toc26813"/>
      <w:bookmarkStart w:id="21" w:name="_Toc189843063"/>
      <w:bookmarkStart w:id="22" w:name="_Toc23326"/>
      <w:bookmarkStart w:id="23" w:name="_Toc189843168"/>
      <w:r>
        <w:t>乙方所提供合同内设备应保证产品内外包装完好无损，若不能达到要求，甲方有权要求乙方立即更换合格产品直至解除合同。由此带来的一切损失由乙方负责。</w:t>
      </w:r>
      <w:bookmarkEnd w:id="20"/>
      <w:bookmarkEnd w:id="21"/>
      <w:bookmarkEnd w:id="22"/>
      <w:bookmarkEnd w:id="23"/>
    </w:p>
    <w:p w14:paraId="49FF9AED">
      <w:pPr>
        <w:pStyle w:val="8"/>
        <w:widowControl/>
        <w:numPr>
          <w:ilvl w:val="0"/>
          <w:numId w:val="2"/>
        </w:numPr>
        <w:spacing w:line="360" w:lineRule="auto"/>
        <w:ind w:left="0" w:firstLine="420"/>
      </w:pPr>
      <w:bookmarkStart w:id="24" w:name="_Toc1648"/>
      <w:bookmarkStart w:id="25" w:name="_Toc11064"/>
      <w:bookmarkStart w:id="26" w:name="_Toc189843064"/>
      <w:bookmarkStart w:id="27" w:name="_Toc189843169"/>
      <w:r>
        <w:t>在签订合同后，乙方按照甲方要求负责设备安装、调试，要求做到布局合理，布线规范，便于使用及维护，符合国家有关技术标准。</w:t>
      </w:r>
      <w:bookmarkEnd w:id="24"/>
      <w:bookmarkEnd w:id="25"/>
      <w:bookmarkEnd w:id="26"/>
      <w:bookmarkEnd w:id="27"/>
    </w:p>
    <w:p w14:paraId="6DE7509C">
      <w:pPr>
        <w:pStyle w:val="7"/>
        <w:widowControl/>
        <w:numPr>
          <w:ilvl w:val="0"/>
          <w:numId w:val="1"/>
        </w:numPr>
        <w:spacing w:line="360" w:lineRule="auto"/>
        <w:ind w:left="0" w:firstLine="422"/>
        <w:outlineLvl w:val="1"/>
      </w:pPr>
      <w:bookmarkStart w:id="28" w:name="_Toc189843170"/>
      <w:bookmarkStart w:id="29" w:name="_Toc18258"/>
      <w:bookmarkStart w:id="30" w:name="_Toc24150"/>
      <w:bookmarkStart w:id="31" w:name="_Toc189843065"/>
      <w:r>
        <w:t>技术标准及质量保证</w:t>
      </w:r>
      <w:bookmarkEnd w:id="28"/>
      <w:bookmarkEnd w:id="29"/>
      <w:bookmarkEnd w:id="30"/>
      <w:bookmarkEnd w:id="31"/>
    </w:p>
    <w:p w14:paraId="5E0C5AB2">
      <w:pPr>
        <w:pStyle w:val="8"/>
        <w:widowControl/>
        <w:numPr>
          <w:ilvl w:val="0"/>
          <w:numId w:val="3"/>
        </w:numPr>
        <w:spacing w:line="360" w:lineRule="auto"/>
        <w:ind w:left="0" w:firstLine="420"/>
      </w:pPr>
      <w:bookmarkStart w:id="32" w:name="_Toc10789"/>
      <w:bookmarkStart w:id="33" w:name="_Toc189843171"/>
      <w:bookmarkStart w:id="34" w:name="_Toc27304"/>
      <w:bookmarkStart w:id="35" w:name="_Toc189843066"/>
      <w:r>
        <w:t>乙方所供设备均以生产厂家提供的产品技术资料为技术标准。</w:t>
      </w:r>
      <w:bookmarkEnd w:id="32"/>
      <w:bookmarkEnd w:id="33"/>
      <w:bookmarkEnd w:id="34"/>
      <w:bookmarkEnd w:id="35"/>
    </w:p>
    <w:p w14:paraId="1B003968">
      <w:pPr>
        <w:pStyle w:val="8"/>
        <w:widowControl/>
        <w:numPr>
          <w:ilvl w:val="0"/>
          <w:numId w:val="3"/>
        </w:numPr>
        <w:spacing w:line="360" w:lineRule="auto"/>
        <w:ind w:left="0" w:firstLine="420"/>
      </w:pPr>
      <w:bookmarkStart w:id="36" w:name="_Toc29412"/>
      <w:bookmarkStart w:id="37" w:name="_Toc189843067"/>
      <w:bookmarkStart w:id="38" w:name="_Toc26863"/>
      <w:bookmarkStart w:id="39" w:name="_Toc189843172"/>
      <w:r>
        <w:t>乙方保证本项目所供产品均为招标文件中指定的产品，且包装为原包装。</w:t>
      </w:r>
      <w:bookmarkEnd w:id="36"/>
      <w:bookmarkEnd w:id="37"/>
      <w:bookmarkEnd w:id="38"/>
      <w:bookmarkEnd w:id="39"/>
    </w:p>
    <w:p w14:paraId="72A6FCFB">
      <w:pPr>
        <w:pStyle w:val="7"/>
        <w:widowControl/>
        <w:numPr>
          <w:ilvl w:val="0"/>
          <w:numId w:val="1"/>
        </w:numPr>
        <w:spacing w:line="360" w:lineRule="auto"/>
        <w:ind w:left="0" w:firstLine="422"/>
        <w:outlineLvl w:val="1"/>
      </w:pPr>
      <w:bookmarkStart w:id="40" w:name="_Toc4320"/>
      <w:bookmarkStart w:id="41" w:name="_Toc189843068"/>
      <w:bookmarkStart w:id="42" w:name="_Toc189843173"/>
      <w:bookmarkStart w:id="43" w:name="_Toc22245"/>
      <w:r>
        <w:t>交货验收</w:t>
      </w:r>
      <w:bookmarkEnd w:id="40"/>
      <w:bookmarkEnd w:id="41"/>
      <w:bookmarkEnd w:id="42"/>
      <w:bookmarkEnd w:id="43"/>
    </w:p>
    <w:p w14:paraId="0B441DDA">
      <w:pPr>
        <w:pStyle w:val="8"/>
        <w:widowControl/>
        <w:spacing w:line="360" w:lineRule="auto"/>
        <w:ind w:firstLine="422"/>
      </w:pPr>
      <w:bookmarkStart w:id="44" w:name="_Toc19283"/>
      <w:bookmarkStart w:id="45" w:name="_Toc31347"/>
      <w:bookmarkStart w:id="46" w:name="_Toc189843174"/>
      <w:bookmarkStart w:id="47" w:name="_Toc189843069"/>
      <w:r>
        <w:rPr>
          <w:b/>
        </w:rPr>
        <w:t>一、</w:t>
      </w:r>
      <w:r>
        <w:t>在交货前，乙方或制造商对货物的质量、规格、性能、数量和重量等进行详细而全面的检验，并交附出厂检验合格证和交货检验记录，但不能作为有关质量、规格、性能、数量或重量的最终检验。</w:t>
      </w:r>
      <w:bookmarkEnd w:id="44"/>
      <w:bookmarkEnd w:id="45"/>
      <w:bookmarkEnd w:id="46"/>
      <w:bookmarkEnd w:id="47"/>
    </w:p>
    <w:p w14:paraId="4F39E0A1">
      <w:pPr>
        <w:pStyle w:val="8"/>
        <w:widowControl/>
        <w:spacing w:line="360" w:lineRule="auto"/>
        <w:ind w:firstLine="422"/>
      </w:pPr>
      <w:bookmarkStart w:id="48" w:name="_Toc4107"/>
      <w:bookmarkStart w:id="49" w:name="_Toc189843175"/>
      <w:bookmarkStart w:id="50" w:name="_Toc10135"/>
      <w:bookmarkStart w:id="51" w:name="_Toc189843070"/>
      <w:r>
        <w:rPr>
          <w:b/>
        </w:rPr>
        <w:t>二、</w:t>
      </w:r>
      <w:r>
        <w:t>验收地点：甲方指定地点。</w:t>
      </w:r>
      <w:bookmarkEnd w:id="48"/>
      <w:bookmarkEnd w:id="49"/>
      <w:bookmarkEnd w:id="50"/>
      <w:bookmarkEnd w:id="51"/>
    </w:p>
    <w:p w14:paraId="7A6B4F4F">
      <w:pPr>
        <w:pStyle w:val="8"/>
        <w:widowControl/>
        <w:spacing w:line="360" w:lineRule="auto"/>
        <w:ind w:firstLine="420"/>
      </w:pPr>
      <w:bookmarkStart w:id="52" w:name="_Toc189843071"/>
      <w:bookmarkStart w:id="53" w:name="_Toc189843176"/>
      <w:r>
        <w:t>三、技术人员在接到用户安装要求后5个工作日内安排工程师上门进行安装调试，仪器技术指标符合招标参数要求，双方共同验收合格。</w:t>
      </w:r>
      <w:bookmarkEnd w:id="52"/>
      <w:bookmarkEnd w:id="53"/>
    </w:p>
    <w:p w14:paraId="01CE8D34">
      <w:pPr>
        <w:pStyle w:val="8"/>
        <w:widowControl/>
        <w:spacing w:line="360" w:lineRule="auto"/>
        <w:ind w:firstLine="420"/>
      </w:pPr>
      <w:bookmarkStart w:id="54" w:name="_Toc189843177"/>
      <w:bookmarkStart w:id="55" w:name="_Toc16809"/>
      <w:bookmarkStart w:id="56" w:name="_Toc18593"/>
      <w:bookmarkStart w:id="57" w:name="_Toc189843072"/>
      <w:r>
        <w:rPr>
          <w:bCs/>
        </w:rPr>
        <w:t>四、验</w:t>
      </w:r>
      <w:r>
        <w:t>收注意事项：乙方必须在甲方在场的情况下当场拆封合同项下的所有货物的包装，并将发票原件、质保卡、使用说明书、设备总装配图、出场检验报告、质量合格证、随机配件等交甲方签收。验收后甲乙双方在《验收报告》上签字盖章，该证书作为甲方向乙方因短少、缺陷、或其他与合同不符合情形索赔的有效证据。如果发现质量、规格或数量或三者与合同不符，在质保期前甲方有权向乙方提出索赔。</w:t>
      </w:r>
      <w:bookmarkEnd w:id="54"/>
      <w:bookmarkEnd w:id="55"/>
      <w:bookmarkEnd w:id="56"/>
      <w:bookmarkEnd w:id="57"/>
    </w:p>
    <w:p w14:paraId="6C0BAEF9">
      <w:pPr>
        <w:pStyle w:val="8"/>
        <w:widowControl/>
        <w:spacing w:line="360" w:lineRule="auto"/>
        <w:ind w:firstLine="420"/>
      </w:pPr>
      <w:bookmarkStart w:id="58" w:name="_Toc31221"/>
      <w:bookmarkStart w:id="59" w:name="_Toc189843073"/>
      <w:bookmarkStart w:id="60" w:name="_Toc15371"/>
      <w:bookmarkStart w:id="61" w:name="_Toc189843178"/>
      <w:r>
        <w:rPr>
          <w:bCs/>
        </w:rPr>
        <w:t>五、</w:t>
      </w:r>
      <w:r>
        <w:t>验收过程中如产生争议，甲乙双方应采取有效措施保护现场，并通过协商解决，协商不成的按本合同相关规定执行。</w:t>
      </w:r>
      <w:bookmarkEnd w:id="58"/>
      <w:bookmarkEnd w:id="59"/>
      <w:bookmarkEnd w:id="60"/>
      <w:bookmarkEnd w:id="61"/>
    </w:p>
    <w:p w14:paraId="1744714F">
      <w:pPr>
        <w:pStyle w:val="7"/>
        <w:widowControl/>
        <w:numPr>
          <w:ilvl w:val="0"/>
          <w:numId w:val="1"/>
        </w:numPr>
        <w:spacing w:line="360" w:lineRule="auto"/>
        <w:ind w:left="0" w:firstLine="422"/>
        <w:outlineLvl w:val="1"/>
      </w:pPr>
      <w:bookmarkStart w:id="62" w:name="_Toc18132"/>
      <w:bookmarkStart w:id="63" w:name="_Toc189843074"/>
      <w:bookmarkStart w:id="64" w:name="_Toc11235"/>
      <w:bookmarkStart w:id="65" w:name="_Toc189843179"/>
      <w:r>
        <w:t>价款支付</w:t>
      </w:r>
      <w:bookmarkEnd w:id="62"/>
      <w:bookmarkEnd w:id="63"/>
      <w:bookmarkEnd w:id="64"/>
      <w:bookmarkEnd w:id="65"/>
    </w:p>
    <w:p w14:paraId="19D53AA9">
      <w:pPr>
        <w:pStyle w:val="7"/>
        <w:widowControl/>
        <w:numPr>
          <w:ilvl w:val="0"/>
          <w:numId w:val="0"/>
        </w:numPr>
        <w:spacing w:line="360" w:lineRule="auto"/>
        <w:ind w:firstLine="420" w:firstLineChars="200"/>
        <w:outlineLvl w:val="1"/>
        <w:rPr>
          <w:rFonts w:hint="eastAsia" w:ascii="宋体" w:hAnsi="宋体" w:eastAsia="宋体" w:cs="宋体"/>
          <w:b w:val="0"/>
          <w:color w:val="000000"/>
          <w:kern w:val="2"/>
          <w:sz w:val="21"/>
          <w:szCs w:val="20"/>
          <w:lang w:val="en-US" w:eastAsia="zh-CN" w:bidi="ar-SA"/>
        </w:rPr>
      </w:pPr>
      <w:r>
        <w:rPr>
          <w:rFonts w:hint="eastAsia" w:ascii="宋体" w:hAnsi="宋体" w:eastAsia="宋体" w:cs="宋体"/>
          <w:b w:val="0"/>
          <w:color w:val="000000"/>
          <w:kern w:val="2"/>
          <w:sz w:val="21"/>
          <w:szCs w:val="20"/>
          <w:lang w:val="en-US" w:eastAsia="zh-CN" w:bidi="ar-SA"/>
        </w:rPr>
        <w:t>合同款一次支付，设备交付调试完成后，经甲方验收合格10工作日内 ，支付至全部合同价款。 质保期为项目验收合格之日起24个月。每次付款前乙方应按甲方要求提供符合要求的发票。</w:t>
      </w:r>
    </w:p>
    <w:p w14:paraId="1C5A8D94">
      <w:pPr>
        <w:pStyle w:val="7"/>
        <w:widowControl/>
        <w:numPr>
          <w:ilvl w:val="0"/>
          <w:numId w:val="1"/>
        </w:numPr>
        <w:spacing w:line="360" w:lineRule="auto"/>
        <w:ind w:left="0" w:firstLine="422"/>
        <w:outlineLvl w:val="1"/>
      </w:pPr>
      <w:bookmarkStart w:id="66" w:name="_Toc8983"/>
      <w:bookmarkStart w:id="67" w:name="_Toc189843075"/>
      <w:bookmarkStart w:id="68" w:name="_Toc22865"/>
      <w:bookmarkStart w:id="69" w:name="_Toc189843180"/>
      <w:r>
        <w:t>交货要求及期限</w:t>
      </w:r>
      <w:bookmarkEnd w:id="66"/>
      <w:bookmarkEnd w:id="67"/>
      <w:bookmarkEnd w:id="68"/>
      <w:bookmarkEnd w:id="69"/>
    </w:p>
    <w:p w14:paraId="58F61D2A">
      <w:pPr>
        <w:pStyle w:val="8"/>
        <w:widowControl/>
        <w:numPr>
          <w:ilvl w:val="0"/>
          <w:numId w:val="4"/>
        </w:numPr>
        <w:spacing w:line="360" w:lineRule="auto"/>
        <w:ind w:left="0" w:firstLine="420"/>
      </w:pPr>
      <w:bookmarkStart w:id="70" w:name="_Toc21853"/>
      <w:bookmarkStart w:id="71" w:name="_Toc189843076"/>
      <w:bookmarkStart w:id="72" w:name="_Toc189843181"/>
      <w:bookmarkStart w:id="73" w:name="_Toc19539"/>
      <w:r>
        <w:t>乙方根据甲方要求的数量、型号规格为包装单位，在规定的时间内将货物送达甲方指定的交货地点，货物至交货地点前的运输、保管风险由乙方承担。</w:t>
      </w:r>
      <w:bookmarkEnd w:id="70"/>
      <w:bookmarkEnd w:id="71"/>
      <w:bookmarkEnd w:id="72"/>
      <w:bookmarkEnd w:id="73"/>
    </w:p>
    <w:p w14:paraId="74C9A926">
      <w:pPr>
        <w:pStyle w:val="8"/>
        <w:widowControl/>
        <w:numPr>
          <w:ilvl w:val="0"/>
          <w:numId w:val="4"/>
        </w:numPr>
        <w:spacing w:line="360" w:lineRule="auto"/>
        <w:ind w:left="0" w:firstLine="420"/>
      </w:pPr>
      <w:bookmarkStart w:id="74" w:name="_Toc189843182"/>
      <w:bookmarkStart w:id="75" w:name="_Toc31308"/>
      <w:bookmarkStart w:id="76" w:name="_Toc189843077"/>
      <w:bookmarkStart w:id="77" w:name="_Toc27354"/>
      <w:r>
        <w:t>合同签定后_______日内交货（_______年_______月_______日交货，_______年_______月_______日以前乙方按设计要求完成设备安装调试。并能投入正常使用。）</w:t>
      </w:r>
      <w:bookmarkEnd w:id="74"/>
      <w:bookmarkEnd w:id="75"/>
      <w:bookmarkEnd w:id="76"/>
      <w:bookmarkEnd w:id="77"/>
    </w:p>
    <w:p w14:paraId="776B0F49">
      <w:pPr>
        <w:pStyle w:val="7"/>
        <w:widowControl/>
        <w:numPr>
          <w:ilvl w:val="0"/>
          <w:numId w:val="1"/>
        </w:numPr>
        <w:spacing w:line="360" w:lineRule="auto"/>
        <w:ind w:left="0" w:firstLine="422"/>
        <w:outlineLvl w:val="1"/>
      </w:pPr>
      <w:bookmarkStart w:id="78" w:name="_Toc189843078"/>
      <w:bookmarkStart w:id="79" w:name="_Toc189843183"/>
      <w:bookmarkStart w:id="80" w:name="_Toc11343"/>
      <w:bookmarkStart w:id="81" w:name="_Toc11968"/>
      <w:r>
        <w:t>售后服务</w:t>
      </w:r>
      <w:bookmarkEnd w:id="78"/>
      <w:bookmarkEnd w:id="79"/>
      <w:r>
        <w:t> </w:t>
      </w:r>
      <w:bookmarkEnd w:id="80"/>
      <w:bookmarkEnd w:id="81"/>
    </w:p>
    <w:p w14:paraId="613666B8">
      <w:pPr>
        <w:pStyle w:val="8"/>
        <w:widowControl/>
        <w:numPr>
          <w:ilvl w:val="0"/>
          <w:numId w:val="5"/>
        </w:numPr>
        <w:spacing w:line="360" w:lineRule="auto"/>
        <w:ind w:left="0" w:firstLine="420"/>
      </w:pPr>
      <w:bookmarkStart w:id="82" w:name="_Toc189843184"/>
      <w:bookmarkStart w:id="83" w:name="_Toc10594"/>
      <w:bookmarkStart w:id="84" w:name="_Toc17861"/>
      <w:bookmarkStart w:id="85" w:name="_Toc189843079"/>
      <w:r>
        <w:t>乙方所提供合同内设备，从验收之日起，所有产品及零配件质保期按招标文件、投标文件规定办理。在质保期内，若有产品质量问题，由乙方负责免费更换或维修。质保期满后，设备维修时，乙方按成本费计算。更换的产品必须是新的，且质保期限从当时算起。</w:t>
      </w:r>
      <w:bookmarkEnd w:id="82"/>
      <w:bookmarkEnd w:id="83"/>
      <w:bookmarkEnd w:id="84"/>
      <w:bookmarkEnd w:id="85"/>
    </w:p>
    <w:p w14:paraId="7F0F7CC7">
      <w:pPr>
        <w:pStyle w:val="8"/>
        <w:widowControl/>
        <w:numPr>
          <w:ilvl w:val="0"/>
          <w:numId w:val="5"/>
        </w:numPr>
        <w:spacing w:line="360" w:lineRule="auto"/>
        <w:ind w:left="0" w:firstLine="420"/>
      </w:pPr>
      <w:bookmarkStart w:id="86" w:name="_Toc4473"/>
      <w:bookmarkStart w:id="87" w:name="_Toc189843185"/>
      <w:bookmarkStart w:id="88" w:name="_Toc189843080"/>
      <w:bookmarkStart w:id="89" w:name="_Toc272"/>
      <w:r>
        <w:t>凡由产品质量问题引起的各类故障，乙方在接到甲方故障报修通知后，在_______小时内响应，_______小时内解决故障，若在_______小时内不能排除故障的，则应由乙方提供不低于原设备标准的备用产品保证学校的正常行课。</w:t>
      </w:r>
      <w:bookmarkEnd w:id="86"/>
      <w:bookmarkEnd w:id="87"/>
      <w:bookmarkEnd w:id="88"/>
      <w:bookmarkEnd w:id="89"/>
    </w:p>
    <w:p w14:paraId="1032D9A1">
      <w:pPr>
        <w:pStyle w:val="8"/>
        <w:widowControl/>
        <w:numPr>
          <w:ilvl w:val="0"/>
          <w:numId w:val="5"/>
        </w:numPr>
        <w:spacing w:line="360" w:lineRule="auto"/>
        <w:ind w:left="0" w:firstLine="420"/>
      </w:pPr>
      <w:bookmarkStart w:id="90" w:name="_Toc5275"/>
      <w:bookmarkStart w:id="91" w:name="_Toc189843186"/>
      <w:bookmarkStart w:id="92" w:name="_Toc32110"/>
      <w:bookmarkStart w:id="93" w:name="_Toc189843081"/>
      <w:r>
        <w:t>在验收合格后的三年内，如乙方接到甲方故障报修通知后4小时内没有响应或24小时内没有排除故障且没有提供不低于原设备标准的备用产品保证学校的正常行课，则每出现上述情况一次扣除乙方合同总金额的_______%作为对甲方的赔偿，直到扣完，所造成损失由乙方负责（每次售后服务，均要求有甲乙双方签字的书面记录）。</w:t>
      </w:r>
      <w:bookmarkEnd w:id="90"/>
      <w:bookmarkEnd w:id="91"/>
      <w:bookmarkEnd w:id="92"/>
      <w:bookmarkEnd w:id="93"/>
    </w:p>
    <w:p w14:paraId="09D3A85E">
      <w:pPr>
        <w:pStyle w:val="8"/>
        <w:widowControl/>
        <w:numPr>
          <w:ilvl w:val="0"/>
          <w:numId w:val="5"/>
        </w:numPr>
        <w:spacing w:line="360" w:lineRule="auto"/>
        <w:ind w:left="0" w:firstLine="420"/>
      </w:pPr>
      <w:bookmarkStart w:id="94" w:name="_Toc2133"/>
      <w:bookmarkStart w:id="95" w:name="_Toc13417"/>
      <w:bookmarkStart w:id="96" w:name="_Toc189843082"/>
      <w:bookmarkStart w:id="97" w:name="_Toc189843187"/>
      <w:r>
        <w:t>乙方向甲方免费培训设备操作管理人员，要求达到能正确使用与维护本合同的设施、设备。</w:t>
      </w:r>
      <w:bookmarkEnd w:id="94"/>
      <w:bookmarkEnd w:id="95"/>
      <w:r>
        <w:t>培训内容为仪器原理结构操作维护保养常见故障排除，软件使用方法建立样品测试等。</w:t>
      </w:r>
      <w:bookmarkEnd w:id="96"/>
      <w:bookmarkEnd w:id="97"/>
    </w:p>
    <w:p w14:paraId="17EEDE71">
      <w:pPr>
        <w:pStyle w:val="7"/>
        <w:widowControl/>
        <w:numPr>
          <w:ilvl w:val="0"/>
          <w:numId w:val="1"/>
        </w:numPr>
        <w:spacing w:line="360" w:lineRule="auto"/>
        <w:ind w:left="0" w:firstLine="422"/>
        <w:outlineLvl w:val="1"/>
      </w:pPr>
      <w:bookmarkStart w:id="98" w:name="_Toc189843083"/>
      <w:bookmarkStart w:id="99" w:name="_Toc189843188"/>
      <w:bookmarkStart w:id="100" w:name="_Toc1440"/>
      <w:bookmarkStart w:id="101" w:name="_Toc2299"/>
      <w:r>
        <w:t>违约责任</w:t>
      </w:r>
      <w:bookmarkEnd w:id="98"/>
      <w:bookmarkEnd w:id="99"/>
      <w:r>
        <w:t> </w:t>
      </w:r>
      <w:bookmarkEnd w:id="100"/>
      <w:bookmarkEnd w:id="101"/>
    </w:p>
    <w:p w14:paraId="41D842AF">
      <w:pPr>
        <w:pStyle w:val="8"/>
        <w:widowControl/>
        <w:spacing w:line="360" w:lineRule="auto"/>
        <w:ind w:firstLine="422"/>
      </w:pPr>
      <w:bookmarkStart w:id="102" w:name="_Toc189843084"/>
      <w:bookmarkStart w:id="103" w:name="_Toc14829"/>
      <w:bookmarkStart w:id="104" w:name="_Toc67"/>
      <w:bookmarkStart w:id="105" w:name="_Toc189843189"/>
      <w:r>
        <w:rPr>
          <w:b/>
        </w:rPr>
        <w:t>一、</w:t>
      </w:r>
      <w:r>
        <w:t>乙方必须严格按合同要求按时、按质（即合同要求的设备的规格、型号）、按量完成供货与安装调试完毕并交付甲方使用。如有违约，每违约一天，按合同总金额的0.1%向甲方支付违约金；若违约超过15天，甲方有权解除合同，所造成的损失，由乙方负责。</w:t>
      </w:r>
      <w:bookmarkEnd w:id="102"/>
      <w:bookmarkEnd w:id="103"/>
      <w:bookmarkEnd w:id="104"/>
      <w:bookmarkEnd w:id="105"/>
    </w:p>
    <w:p w14:paraId="2082FECE">
      <w:pPr>
        <w:pStyle w:val="8"/>
        <w:widowControl/>
        <w:spacing w:line="360" w:lineRule="auto"/>
        <w:ind w:firstLine="422"/>
      </w:pPr>
      <w:bookmarkStart w:id="106" w:name="_Toc189843085"/>
      <w:bookmarkStart w:id="107" w:name="_Toc1263"/>
      <w:bookmarkStart w:id="108" w:name="_Toc189843190"/>
      <w:bookmarkStart w:id="109" w:name="_Toc2457"/>
      <w:r>
        <w:rPr>
          <w:b/>
        </w:rPr>
        <w:t>二、</w:t>
      </w:r>
      <w:r>
        <w:t>在乙方履行合同后，甲方保证按时向乙方支付合同款项，如有违约，每违约一天，按合同总金额的0.1%向乙方支付违约金。</w:t>
      </w:r>
      <w:bookmarkEnd w:id="106"/>
      <w:bookmarkEnd w:id="107"/>
      <w:bookmarkEnd w:id="108"/>
      <w:bookmarkEnd w:id="109"/>
    </w:p>
    <w:p w14:paraId="5C75E666">
      <w:pPr>
        <w:pStyle w:val="7"/>
        <w:widowControl/>
        <w:numPr>
          <w:ilvl w:val="0"/>
          <w:numId w:val="1"/>
        </w:numPr>
        <w:spacing w:line="360" w:lineRule="auto"/>
        <w:ind w:left="0" w:firstLine="422"/>
        <w:outlineLvl w:val="1"/>
      </w:pPr>
      <w:bookmarkStart w:id="110" w:name="_Toc189843086"/>
      <w:bookmarkStart w:id="111" w:name="_Toc189843191"/>
      <w:bookmarkStart w:id="112" w:name="_Toc16770"/>
      <w:bookmarkStart w:id="113" w:name="_Toc6877"/>
      <w:r>
        <w:t>相关法律</w:t>
      </w:r>
      <w:bookmarkEnd w:id="110"/>
      <w:bookmarkEnd w:id="111"/>
      <w:r>
        <w:t> </w:t>
      </w:r>
      <w:bookmarkEnd w:id="112"/>
      <w:bookmarkEnd w:id="113"/>
    </w:p>
    <w:p w14:paraId="3214AE6C">
      <w:pPr>
        <w:widowControl/>
        <w:spacing w:line="360" w:lineRule="auto"/>
        <w:ind w:firstLine="420" w:firstLineChars="200"/>
        <w:rPr>
          <w:rFonts w:hint="eastAsia" w:ascii="宋体" w:hAnsi="宋体" w:cs="宋体"/>
          <w:color w:val="000000"/>
          <w:szCs w:val="21"/>
        </w:rPr>
      </w:pPr>
      <w:r>
        <w:rPr>
          <w:rFonts w:hint="eastAsia" w:ascii="宋体" w:hAnsi="宋体" w:eastAsia="宋体" w:cs="宋体"/>
          <w:color w:val="000000"/>
          <w:szCs w:val="21"/>
        </w:rPr>
        <w:t>本合同按《中华人民共和国民法典》《中华人民共和国产品质量法》《消费者权益保护法》等有关法律条款执行。</w:t>
      </w:r>
    </w:p>
    <w:p w14:paraId="5E743721">
      <w:pPr>
        <w:pStyle w:val="7"/>
        <w:widowControl/>
        <w:numPr>
          <w:ilvl w:val="0"/>
          <w:numId w:val="1"/>
        </w:numPr>
        <w:spacing w:line="360" w:lineRule="auto"/>
        <w:ind w:left="0" w:firstLine="422"/>
        <w:outlineLvl w:val="1"/>
      </w:pPr>
      <w:bookmarkStart w:id="114" w:name="_Toc189843087"/>
      <w:bookmarkStart w:id="115" w:name="_Toc31150"/>
      <w:bookmarkStart w:id="116" w:name="_Toc10285"/>
      <w:bookmarkStart w:id="117" w:name="_Toc189843192"/>
      <w:r>
        <w:t>争端的解决</w:t>
      </w:r>
      <w:bookmarkEnd w:id="114"/>
      <w:bookmarkEnd w:id="115"/>
      <w:bookmarkEnd w:id="116"/>
      <w:bookmarkEnd w:id="117"/>
    </w:p>
    <w:p w14:paraId="2B73DB49">
      <w:pPr>
        <w:widowControl/>
        <w:spacing w:line="360" w:lineRule="auto"/>
        <w:ind w:firstLine="420" w:firstLineChars="200"/>
        <w:rPr>
          <w:rFonts w:hint="eastAsia" w:ascii="宋体" w:hAnsi="宋体" w:cs="宋体"/>
          <w:color w:val="000000"/>
          <w:szCs w:val="21"/>
        </w:rPr>
      </w:pPr>
      <w:r>
        <w:rPr>
          <w:rFonts w:hint="eastAsia" w:ascii="宋体" w:hAnsi="宋体" w:eastAsia="宋体" w:cs="宋体"/>
          <w:color w:val="000000"/>
          <w:szCs w:val="21"/>
        </w:rPr>
        <w:t>因本合同引起的或与本合同有关的任何争议，由合同各方协商解决，也可由有关部门调解。协商或调解不成的，按下列第二种方式解决：</w:t>
      </w:r>
    </w:p>
    <w:p w14:paraId="16B04162">
      <w:pPr>
        <w:pStyle w:val="9"/>
        <w:widowControl/>
        <w:spacing w:line="360" w:lineRule="auto"/>
        <w:ind w:left="420" w:leftChars="200" w:firstLine="0" w:firstLineChars="0"/>
      </w:pPr>
      <w:bookmarkStart w:id="118" w:name="_Toc189843193"/>
      <w:r>
        <w:t>一、提交位于__________________（地点）的__________________仲裁委员会仲裁。仲裁裁决是终局的，对各方均有约束力；</w:t>
      </w:r>
      <w:bookmarkEnd w:id="118"/>
    </w:p>
    <w:p w14:paraId="02C9197B">
      <w:pPr>
        <w:pStyle w:val="9"/>
        <w:widowControl/>
        <w:spacing w:line="360" w:lineRule="auto"/>
        <w:ind w:left="420" w:leftChars="200" w:firstLine="0" w:firstLineChars="0"/>
      </w:pPr>
      <w:bookmarkStart w:id="119" w:name="_Toc189843194"/>
      <w:r>
        <w:t>二、依法向甲方所在地有管辖权的人民法院起诉。</w:t>
      </w:r>
      <w:bookmarkEnd w:id="119"/>
    </w:p>
    <w:p w14:paraId="77E34518">
      <w:pPr>
        <w:pStyle w:val="7"/>
        <w:widowControl/>
        <w:numPr>
          <w:ilvl w:val="0"/>
          <w:numId w:val="1"/>
        </w:numPr>
        <w:spacing w:line="360" w:lineRule="auto"/>
        <w:ind w:left="0" w:firstLine="422"/>
        <w:outlineLvl w:val="1"/>
      </w:pPr>
      <w:bookmarkStart w:id="120" w:name="_Toc189843195"/>
      <w:bookmarkStart w:id="121" w:name="_Toc189843088"/>
      <w:bookmarkStart w:id="122" w:name="_Toc29537"/>
      <w:bookmarkStart w:id="123" w:name="_Toc8735"/>
      <w:r>
        <w:t>其他</w:t>
      </w:r>
      <w:bookmarkEnd w:id="120"/>
      <w:bookmarkEnd w:id="121"/>
      <w:bookmarkEnd w:id="122"/>
      <w:bookmarkEnd w:id="123"/>
    </w:p>
    <w:p w14:paraId="64DE9983">
      <w:pPr>
        <w:pStyle w:val="8"/>
        <w:widowControl/>
        <w:spacing w:line="360" w:lineRule="auto"/>
        <w:ind w:firstLine="422"/>
      </w:pPr>
      <w:bookmarkStart w:id="124" w:name="_Toc189843089"/>
      <w:bookmarkStart w:id="125" w:name="_Toc189843196"/>
      <w:bookmarkStart w:id="126" w:name="_Toc24852"/>
      <w:bookmarkStart w:id="127" w:name="_Toc6607"/>
      <w:r>
        <w:rPr>
          <w:b/>
        </w:rPr>
        <w:t>一、</w:t>
      </w:r>
      <w:r>
        <w:t>本协议一式陆份，协议各方各执叁份。各份协议文本具有同等法律效力。</w:t>
      </w:r>
      <w:bookmarkEnd w:id="124"/>
      <w:bookmarkEnd w:id="125"/>
      <w:bookmarkEnd w:id="126"/>
      <w:bookmarkEnd w:id="127"/>
    </w:p>
    <w:p w14:paraId="4AB427CE">
      <w:pPr>
        <w:pStyle w:val="8"/>
        <w:widowControl/>
        <w:spacing w:line="360" w:lineRule="auto"/>
        <w:ind w:firstLine="422"/>
        <w:rPr>
          <w:szCs w:val="21"/>
        </w:rPr>
      </w:pPr>
      <w:bookmarkStart w:id="128" w:name="_Toc9863"/>
      <w:bookmarkStart w:id="129" w:name="_Toc189843197"/>
      <w:bookmarkStart w:id="130" w:name="_Toc189843090"/>
      <w:bookmarkStart w:id="131" w:name="_Toc15716"/>
      <w:r>
        <w:rPr>
          <w:b/>
          <w:szCs w:val="21"/>
        </w:rPr>
        <w:t>二、</w:t>
      </w:r>
      <w:r>
        <w:t>本协议经各方签署后生效。</w:t>
      </w:r>
      <w:bookmarkEnd w:id="128"/>
      <w:bookmarkEnd w:id="129"/>
      <w:bookmarkEnd w:id="130"/>
      <w:bookmarkEnd w:id="131"/>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14:paraId="30333D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428" w:type="dxa"/>
          </w:tcPr>
          <w:p w14:paraId="7C67F548">
            <w:pPr>
              <w:autoSpaceDE w:val="0"/>
              <w:autoSpaceDN w:val="0"/>
              <w:adjustRightInd w:val="0"/>
              <w:spacing w:before="100" w:beforeAutospacing="1" w:after="100" w:afterAutospacing="1" w:line="360" w:lineRule="auto"/>
              <w:ind w:firstLine="420" w:firstLineChars="200"/>
              <w:jc w:val="left"/>
              <w:rPr>
                <w:rFonts w:hint="eastAsia" w:ascii="宋体" w:hAnsi="宋体" w:cs="宋体"/>
                <w:kern w:val="0"/>
                <w:szCs w:val="21"/>
                <w:lang w:val="zh-CN"/>
              </w:rPr>
            </w:pPr>
            <w:r>
              <w:rPr>
                <w:rFonts w:hint="eastAsia" w:ascii="宋体" w:hAnsi="宋体" w:eastAsia="宋体" w:cs="宋体"/>
                <w:kern w:val="0"/>
                <w:szCs w:val="21"/>
                <w:lang w:eastAsia="zh-Hans"/>
              </w:rPr>
              <w:t>甲    方</w:t>
            </w:r>
            <w:r>
              <w:rPr>
                <w:rFonts w:hint="eastAsia" w:ascii="宋体" w:hAnsi="宋体" w:eastAsia="宋体" w:cs="宋体"/>
                <w:kern w:val="0"/>
                <w:szCs w:val="21"/>
                <w:lang w:val="zh-CN"/>
              </w:rPr>
              <w:t>：</w:t>
            </w:r>
            <w:r>
              <w:rPr>
                <w:rFonts w:hint="eastAsia" w:ascii="宋体" w:hAnsi="宋体" w:eastAsia="宋体" w:cs="宋体"/>
                <w:kern w:val="0"/>
                <w:szCs w:val="21"/>
                <w:u w:val="single"/>
                <w:lang w:val="zh-CN"/>
              </w:rPr>
              <w:t xml:space="preserve">                </w:t>
            </w:r>
          </w:p>
        </w:tc>
        <w:tc>
          <w:tcPr>
            <w:tcW w:w="4428" w:type="dxa"/>
          </w:tcPr>
          <w:p w14:paraId="3B39B721">
            <w:pPr>
              <w:autoSpaceDE w:val="0"/>
              <w:autoSpaceDN w:val="0"/>
              <w:adjustRightInd w:val="0"/>
              <w:spacing w:before="100" w:beforeAutospacing="1" w:after="100" w:afterAutospacing="1" w:line="360" w:lineRule="auto"/>
              <w:ind w:firstLine="420" w:firstLineChars="200"/>
              <w:jc w:val="left"/>
              <w:rPr>
                <w:rFonts w:hint="eastAsia" w:ascii="宋体" w:hAnsi="宋体" w:cs="宋体"/>
                <w:kern w:val="0"/>
                <w:szCs w:val="21"/>
                <w:lang w:val="zh-CN"/>
              </w:rPr>
            </w:pPr>
            <w:r>
              <w:rPr>
                <w:rFonts w:hint="eastAsia" w:ascii="宋体" w:hAnsi="宋体" w:eastAsia="宋体" w:cs="宋体"/>
                <w:kern w:val="0"/>
                <w:szCs w:val="21"/>
                <w:lang w:eastAsia="zh-Hans"/>
              </w:rPr>
              <w:t>乙    方</w:t>
            </w:r>
            <w:r>
              <w:rPr>
                <w:rFonts w:hint="eastAsia" w:ascii="宋体" w:hAnsi="宋体" w:eastAsia="宋体" w:cs="宋体"/>
                <w:kern w:val="0"/>
                <w:szCs w:val="21"/>
                <w:lang w:val="zh-CN"/>
              </w:rPr>
              <w:t>：</w:t>
            </w:r>
            <w:r>
              <w:rPr>
                <w:rFonts w:hint="eastAsia" w:ascii="宋体" w:hAnsi="宋体" w:eastAsia="宋体" w:cs="宋体"/>
                <w:kern w:val="0"/>
                <w:szCs w:val="21"/>
                <w:u w:val="single"/>
                <w:lang w:val="zh-CN"/>
              </w:rPr>
              <w:t xml:space="preserve">                </w:t>
            </w:r>
          </w:p>
        </w:tc>
      </w:tr>
      <w:tr w14:paraId="7A7E8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428" w:type="dxa"/>
          </w:tcPr>
          <w:p w14:paraId="38BB5580">
            <w:pPr>
              <w:tabs>
                <w:tab w:val="left" w:pos="3060"/>
              </w:tabs>
              <w:wordWrap w:val="0"/>
              <w:autoSpaceDE w:val="0"/>
              <w:autoSpaceDN w:val="0"/>
              <w:adjustRightInd w:val="0"/>
              <w:spacing w:before="100" w:beforeAutospacing="1" w:after="100" w:afterAutospacing="1" w:line="360" w:lineRule="auto"/>
              <w:ind w:firstLine="420" w:firstLineChars="200"/>
              <w:jc w:val="left"/>
              <w:rPr>
                <w:rFonts w:hint="eastAsia" w:ascii="宋体" w:hAnsi="宋体" w:cs="宋体"/>
                <w:kern w:val="0"/>
                <w:szCs w:val="21"/>
                <w:lang w:eastAsia="zh-Hans"/>
              </w:rPr>
            </w:pPr>
            <w:r>
              <w:rPr>
                <w:rFonts w:hint="eastAsia" w:ascii="宋体" w:hAnsi="宋体" w:cs="宋体"/>
                <w:szCs w:val="21"/>
              </w:rPr>
              <w:t>法人代表：____________________</w:t>
            </w:r>
          </w:p>
        </w:tc>
        <w:tc>
          <w:tcPr>
            <w:tcW w:w="4428" w:type="dxa"/>
          </w:tcPr>
          <w:p w14:paraId="05CBE78B">
            <w:pPr>
              <w:tabs>
                <w:tab w:val="left" w:pos="3060"/>
              </w:tabs>
              <w:wordWrap w:val="0"/>
              <w:autoSpaceDE w:val="0"/>
              <w:autoSpaceDN w:val="0"/>
              <w:adjustRightInd w:val="0"/>
              <w:spacing w:before="100" w:beforeAutospacing="1" w:after="100" w:afterAutospacing="1" w:line="360" w:lineRule="auto"/>
              <w:ind w:firstLine="420" w:firstLineChars="200"/>
              <w:jc w:val="left"/>
              <w:rPr>
                <w:rFonts w:hint="eastAsia" w:ascii="宋体" w:hAnsi="宋体" w:cs="宋体"/>
                <w:kern w:val="0"/>
                <w:szCs w:val="21"/>
                <w:lang w:eastAsia="zh-Hans"/>
              </w:rPr>
            </w:pPr>
            <w:r>
              <w:rPr>
                <w:rFonts w:hint="eastAsia" w:ascii="宋体" w:hAnsi="宋体" w:cs="宋体"/>
                <w:szCs w:val="21"/>
              </w:rPr>
              <w:t>法人代表：____________________</w:t>
            </w:r>
          </w:p>
        </w:tc>
      </w:tr>
      <w:tr w14:paraId="45FE7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428" w:type="dxa"/>
          </w:tcPr>
          <w:p w14:paraId="62830FCE">
            <w:pPr>
              <w:tabs>
                <w:tab w:val="left" w:pos="3060"/>
              </w:tabs>
              <w:wordWrap w:val="0"/>
              <w:autoSpaceDE w:val="0"/>
              <w:autoSpaceDN w:val="0"/>
              <w:adjustRightInd w:val="0"/>
              <w:spacing w:before="100" w:beforeAutospacing="1" w:after="100" w:afterAutospacing="1" w:line="360" w:lineRule="auto"/>
              <w:ind w:firstLine="420" w:firstLineChars="200"/>
              <w:jc w:val="left"/>
              <w:rPr>
                <w:rFonts w:hint="eastAsia" w:ascii="宋体" w:hAnsi="宋体" w:cs="宋体"/>
                <w:kern w:val="0"/>
                <w:szCs w:val="21"/>
                <w:lang w:val="zh-CN"/>
              </w:rPr>
            </w:pPr>
            <w:r>
              <w:rPr>
                <w:rFonts w:hint="eastAsia" w:ascii="宋体" w:hAnsi="宋体" w:cs="宋体"/>
                <w:szCs w:val="21"/>
              </w:rPr>
              <w:t>授权代表：____________________</w:t>
            </w:r>
          </w:p>
        </w:tc>
        <w:tc>
          <w:tcPr>
            <w:tcW w:w="4428" w:type="dxa"/>
          </w:tcPr>
          <w:p w14:paraId="59023D82">
            <w:pPr>
              <w:tabs>
                <w:tab w:val="left" w:pos="3060"/>
              </w:tabs>
              <w:wordWrap w:val="0"/>
              <w:autoSpaceDE w:val="0"/>
              <w:autoSpaceDN w:val="0"/>
              <w:adjustRightInd w:val="0"/>
              <w:spacing w:before="100" w:beforeAutospacing="1" w:after="100" w:afterAutospacing="1" w:line="360" w:lineRule="auto"/>
              <w:ind w:firstLine="420" w:firstLineChars="200"/>
              <w:jc w:val="left"/>
              <w:rPr>
                <w:rFonts w:hint="eastAsia" w:ascii="宋体" w:hAnsi="宋体" w:cs="宋体"/>
                <w:kern w:val="0"/>
                <w:szCs w:val="21"/>
                <w:lang w:val="zh-CN"/>
              </w:rPr>
            </w:pPr>
            <w:r>
              <w:rPr>
                <w:rFonts w:hint="eastAsia" w:ascii="宋体" w:hAnsi="宋体" w:cs="宋体"/>
                <w:szCs w:val="21"/>
              </w:rPr>
              <w:t>授权代表：____________________</w:t>
            </w:r>
          </w:p>
        </w:tc>
      </w:tr>
      <w:tr w14:paraId="5854C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428" w:type="dxa"/>
          </w:tcPr>
          <w:p w14:paraId="4F5102AF">
            <w:pPr>
              <w:autoSpaceDE w:val="0"/>
              <w:autoSpaceDN w:val="0"/>
              <w:adjustRightInd w:val="0"/>
              <w:spacing w:before="100" w:beforeAutospacing="1" w:after="100" w:afterAutospacing="1" w:line="360" w:lineRule="auto"/>
              <w:ind w:firstLine="420" w:firstLineChars="200"/>
              <w:jc w:val="left"/>
              <w:rPr>
                <w:rFonts w:hint="eastAsia" w:ascii="宋体" w:hAnsi="宋体" w:cs="宋体"/>
                <w:kern w:val="0"/>
                <w:szCs w:val="21"/>
                <w:lang w:eastAsia="zh-Hans"/>
              </w:rPr>
            </w:pPr>
            <w:r>
              <w:rPr>
                <w:rFonts w:hint="eastAsia" w:ascii="宋体" w:hAnsi="宋体" w:eastAsia="宋体" w:cs="宋体"/>
                <w:kern w:val="0"/>
                <w:szCs w:val="21"/>
                <w:lang w:eastAsia="zh-Hans"/>
              </w:rPr>
              <w:t>联系地址：</w:t>
            </w:r>
            <w:r>
              <w:rPr>
                <w:rFonts w:hint="eastAsia" w:ascii="宋体" w:hAnsi="宋体" w:eastAsia="宋体" w:cs="宋体"/>
                <w:kern w:val="0"/>
                <w:szCs w:val="21"/>
                <w:u w:val="single"/>
                <w:lang w:val="zh-CN"/>
              </w:rPr>
              <w:t xml:space="preserve">                </w:t>
            </w:r>
          </w:p>
        </w:tc>
        <w:tc>
          <w:tcPr>
            <w:tcW w:w="4428" w:type="dxa"/>
          </w:tcPr>
          <w:p w14:paraId="71E0CE3C">
            <w:pPr>
              <w:autoSpaceDE w:val="0"/>
              <w:autoSpaceDN w:val="0"/>
              <w:adjustRightInd w:val="0"/>
              <w:spacing w:before="100" w:beforeAutospacing="1" w:after="100" w:afterAutospacing="1" w:line="360" w:lineRule="auto"/>
              <w:ind w:firstLine="420" w:firstLineChars="200"/>
              <w:jc w:val="left"/>
              <w:rPr>
                <w:rFonts w:hint="eastAsia" w:ascii="宋体" w:hAnsi="宋体" w:cs="宋体"/>
                <w:kern w:val="0"/>
                <w:szCs w:val="21"/>
                <w:lang w:eastAsia="zh-Hans"/>
              </w:rPr>
            </w:pPr>
            <w:r>
              <w:rPr>
                <w:rFonts w:hint="eastAsia" w:ascii="宋体" w:hAnsi="宋体" w:eastAsia="宋体" w:cs="宋体"/>
                <w:kern w:val="0"/>
                <w:szCs w:val="21"/>
                <w:lang w:eastAsia="zh-Hans"/>
              </w:rPr>
              <w:t>联系地址：</w:t>
            </w:r>
            <w:r>
              <w:rPr>
                <w:rFonts w:hint="eastAsia" w:ascii="宋体" w:hAnsi="宋体" w:eastAsia="宋体" w:cs="宋体"/>
                <w:kern w:val="0"/>
                <w:szCs w:val="21"/>
                <w:u w:val="single"/>
                <w:lang w:val="zh-CN"/>
              </w:rPr>
              <w:t xml:space="preserve">                </w:t>
            </w:r>
          </w:p>
        </w:tc>
      </w:tr>
      <w:tr w14:paraId="14F15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428" w:type="dxa"/>
          </w:tcPr>
          <w:p w14:paraId="4819A3F9">
            <w:pPr>
              <w:autoSpaceDE w:val="0"/>
              <w:autoSpaceDN w:val="0"/>
              <w:adjustRightInd w:val="0"/>
              <w:spacing w:before="100" w:beforeAutospacing="1" w:after="100" w:afterAutospacing="1" w:line="360" w:lineRule="auto"/>
              <w:ind w:firstLine="420" w:firstLineChars="200"/>
              <w:jc w:val="left"/>
              <w:rPr>
                <w:rFonts w:hint="eastAsia" w:ascii="宋体" w:hAnsi="宋体" w:cs="宋体"/>
                <w:kern w:val="0"/>
                <w:szCs w:val="21"/>
                <w:lang w:eastAsia="zh-Hans"/>
              </w:rPr>
            </w:pPr>
            <w:r>
              <w:rPr>
                <w:rFonts w:hint="eastAsia" w:ascii="宋体" w:hAnsi="宋体" w:eastAsia="宋体" w:cs="宋体"/>
                <w:kern w:val="0"/>
                <w:szCs w:val="21"/>
                <w:lang w:eastAsia="zh-Hans"/>
              </w:rPr>
              <w:t>日    期：</w:t>
            </w:r>
            <w:r>
              <w:rPr>
                <w:rFonts w:hint="eastAsia" w:ascii="宋体" w:hAnsi="宋体" w:eastAsia="宋体" w:cs="宋体"/>
                <w:kern w:val="0"/>
                <w:szCs w:val="21"/>
                <w:u w:val="single"/>
                <w:lang w:val="zh-CN"/>
              </w:rPr>
              <w:t xml:space="preserve">                </w:t>
            </w:r>
          </w:p>
        </w:tc>
        <w:tc>
          <w:tcPr>
            <w:tcW w:w="4428" w:type="dxa"/>
          </w:tcPr>
          <w:p w14:paraId="1AB460C6">
            <w:pPr>
              <w:autoSpaceDE w:val="0"/>
              <w:autoSpaceDN w:val="0"/>
              <w:adjustRightInd w:val="0"/>
              <w:spacing w:before="100" w:beforeAutospacing="1" w:after="100" w:afterAutospacing="1" w:line="360" w:lineRule="auto"/>
              <w:ind w:firstLine="420" w:firstLineChars="200"/>
              <w:jc w:val="left"/>
              <w:rPr>
                <w:rFonts w:hint="eastAsia" w:ascii="宋体" w:hAnsi="宋体" w:cs="宋体"/>
                <w:kern w:val="0"/>
                <w:szCs w:val="21"/>
                <w:lang w:eastAsia="zh-Hans"/>
              </w:rPr>
            </w:pPr>
            <w:r>
              <w:rPr>
                <w:rFonts w:hint="eastAsia" w:ascii="宋体" w:hAnsi="宋体" w:eastAsia="宋体" w:cs="宋体"/>
                <w:kern w:val="0"/>
                <w:szCs w:val="21"/>
                <w:lang w:eastAsia="zh-Hans"/>
              </w:rPr>
              <w:t>日    期：</w:t>
            </w:r>
            <w:r>
              <w:rPr>
                <w:rFonts w:hint="eastAsia" w:ascii="宋体" w:hAnsi="宋体" w:eastAsia="宋体" w:cs="宋体"/>
                <w:kern w:val="0"/>
                <w:szCs w:val="21"/>
                <w:u w:val="single"/>
                <w:lang w:val="zh-CN"/>
              </w:rPr>
              <w:t xml:space="preserve">                </w:t>
            </w:r>
          </w:p>
        </w:tc>
      </w:tr>
    </w:tbl>
    <w:p w14:paraId="09112851"/>
    <w:p w14:paraId="471B3FED">
      <w:pPr>
        <w:pStyle w:val="10"/>
        <w:spacing w:line="360" w:lineRule="auto"/>
        <w:rPr>
          <w:rFonts w:asciiTheme="minorEastAsia" w:hAnsiTheme="minorEastAsia"/>
        </w:rPr>
      </w:pPr>
    </w:p>
    <w:p w14:paraId="07619B5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511FC2"/>
    <w:multiLevelType w:val="singleLevel"/>
    <w:tmpl w:val="B6511FC2"/>
    <w:lvl w:ilvl="0" w:tentative="0">
      <w:start w:val="1"/>
      <w:numFmt w:val="chineseCountingThousand"/>
      <w:suff w:val="space"/>
      <w:lvlText w:val="第%1条 "/>
      <w:lvlJc w:val="left"/>
      <w:pPr>
        <w:ind w:left="507" w:hanging="85"/>
      </w:pPr>
      <w:rPr>
        <w:rFonts w:hint="eastAsia"/>
        <w:b/>
      </w:rPr>
    </w:lvl>
  </w:abstractNum>
  <w:abstractNum w:abstractNumId="1">
    <w:nsid w:val="DF8256A2"/>
    <w:multiLevelType w:val="singleLevel"/>
    <w:tmpl w:val="DF8256A2"/>
    <w:lvl w:ilvl="0" w:tentative="0">
      <w:start w:val="1"/>
      <w:numFmt w:val="chineseCountingThousand"/>
      <w:suff w:val="space"/>
      <w:lvlText w:val="%1、"/>
      <w:lvlJc w:val="left"/>
      <w:pPr>
        <w:ind w:left="590" w:hanging="57"/>
      </w:pPr>
      <w:rPr>
        <w:rFonts w:hint="eastAsia"/>
        <w:b/>
      </w:rPr>
    </w:lvl>
  </w:abstractNum>
  <w:abstractNum w:abstractNumId="2">
    <w:nsid w:val="316C0833"/>
    <w:multiLevelType w:val="singleLevel"/>
    <w:tmpl w:val="316C0833"/>
    <w:lvl w:ilvl="0" w:tentative="0">
      <w:start w:val="1"/>
      <w:numFmt w:val="chineseCountingThousand"/>
      <w:suff w:val="space"/>
      <w:lvlText w:val="%1、"/>
      <w:lvlJc w:val="left"/>
      <w:pPr>
        <w:ind w:left="590" w:hanging="57"/>
      </w:pPr>
      <w:rPr>
        <w:rFonts w:hint="eastAsia"/>
        <w:b/>
      </w:rPr>
    </w:lvl>
  </w:abstractNum>
  <w:abstractNum w:abstractNumId="3">
    <w:nsid w:val="3C013FCC"/>
    <w:multiLevelType w:val="singleLevel"/>
    <w:tmpl w:val="3C013FCC"/>
    <w:lvl w:ilvl="0" w:tentative="0">
      <w:start w:val="1"/>
      <w:numFmt w:val="chineseCountingThousand"/>
      <w:suff w:val="space"/>
      <w:lvlText w:val="%1、"/>
      <w:lvlJc w:val="left"/>
      <w:pPr>
        <w:ind w:left="590" w:hanging="57"/>
      </w:pPr>
      <w:rPr>
        <w:rFonts w:hint="eastAsia"/>
        <w:b/>
      </w:rPr>
    </w:lvl>
  </w:abstractNum>
  <w:abstractNum w:abstractNumId="4">
    <w:nsid w:val="680D62FF"/>
    <w:multiLevelType w:val="singleLevel"/>
    <w:tmpl w:val="680D62FF"/>
    <w:lvl w:ilvl="0" w:tentative="0">
      <w:start w:val="1"/>
      <w:numFmt w:val="chineseCountingThousand"/>
      <w:suff w:val="space"/>
      <w:lvlText w:val="%1、"/>
      <w:lvlJc w:val="left"/>
      <w:pPr>
        <w:ind w:left="590" w:hanging="57"/>
      </w:pPr>
      <w:rPr>
        <w:rFonts w:hint="eastAsia"/>
        <w:b/>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596"/>
    <w:rsid w:val="00FB25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table of figures"/>
    <w:basedOn w:val="1"/>
    <w:next w:val="1"/>
    <w:unhideWhenUsed/>
    <w:qFormat/>
    <w:uiPriority w:val="99"/>
    <w:pPr>
      <w:ind w:left="200" w:leftChars="200" w:hanging="200" w:hangingChars="200"/>
    </w:p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稻壳合同样式 1级"/>
    <w:basedOn w:val="1"/>
    <w:autoRedefine/>
    <w:qFormat/>
    <w:uiPriority w:val="0"/>
    <w:pPr>
      <w:spacing w:line="400" w:lineRule="exact"/>
      <w:ind w:firstLine="720" w:firstLineChars="200"/>
      <w:outlineLvl w:val="0"/>
    </w:pPr>
    <w:rPr>
      <w:rFonts w:hint="eastAsia" w:ascii="宋体" w:hAnsi="宋体" w:eastAsia="宋体" w:cs="宋体"/>
      <w:b/>
      <w:color w:val="000000"/>
      <w:szCs w:val="20"/>
    </w:rPr>
  </w:style>
  <w:style w:type="paragraph" w:customStyle="1" w:styleId="8">
    <w:name w:val="稻壳合同样式 2级"/>
    <w:basedOn w:val="1"/>
    <w:autoRedefine/>
    <w:qFormat/>
    <w:uiPriority w:val="0"/>
    <w:pPr>
      <w:spacing w:line="400" w:lineRule="exact"/>
      <w:ind w:firstLine="720" w:firstLineChars="200"/>
      <w:outlineLvl w:val="1"/>
    </w:pPr>
    <w:rPr>
      <w:rFonts w:hint="eastAsia" w:ascii="宋体" w:hAnsi="宋体" w:eastAsia="宋体" w:cs="宋体"/>
      <w:color w:val="000000"/>
      <w:szCs w:val="20"/>
    </w:rPr>
  </w:style>
  <w:style w:type="paragraph" w:customStyle="1" w:styleId="9">
    <w:name w:val="稻壳合同样式 3级"/>
    <w:basedOn w:val="1"/>
    <w:autoRedefine/>
    <w:qFormat/>
    <w:uiPriority w:val="0"/>
    <w:pPr>
      <w:spacing w:line="400" w:lineRule="exact"/>
      <w:ind w:firstLine="720" w:firstLineChars="200"/>
      <w:outlineLvl w:val="2"/>
    </w:pPr>
    <w:rPr>
      <w:rFonts w:hint="eastAsia" w:ascii="宋体" w:hAnsi="宋体" w:eastAsia="宋体" w:cs="宋体"/>
      <w:color w:val="000000"/>
      <w:szCs w:val="20"/>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2025-08-22T05:11:00Z</dcterms:created>
  <dc:creator>方</dc:creator>
  <cp:lastModifiedBy>方</cp:lastModifiedBy>
  <dcterms:modified xsi:type="dcterms:W3CDTF">2025-08-22T05:11:26Z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2052-12.1.0.21911</vt:lpwstr>
  </property>
  <property fmtid="{D5CDD505-2E9C-101B-9397-08002B2CF9AE}" pid="3" name="ICV">
    <vt:lpwstr>731749B8EA0D408395D215BCFAA9AEC2_11</vt:lpwstr>
  </property>
  <property fmtid="{D5CDD505-2E9C-101B-9397-08002B2CF9AE}" pid="4" name="KSOTemplateDocerSaveRecord">
    <vt:lpwstr>eyJoZGlkIjoiMzg5MTM5NTA1NmFjZjVlOGM0M2E1NDFiYzgwZjQ0N2MiLCJ1c2VySWQiOiIxMTY4MzUyMzkyIn0=</vt:lpwstr>
  </property>
</Properties>
</file>