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144C0C">
      <w:pPr>
        <w:tabs>
          <w:tab w:val="left" w:pos="735"/>
        </w:tabs>
        <w:autoSpaceDE w:val="0"/>
        <w:autoSpaceDN w:val="0"/>
        <w:adjustRightInd w:val="0"/>
        <w:snapToGrid w:val="0"/>
        <w:spacing w:line="560" w:lineRule="exact"/>
        <w:rPr>
          <w:rFonts w:hint="eastAsia" w:ascii="仿宋_GB2312" w:hAnsi="仿宋_GB2312" w:eastAsia="仿宋_GB2312" w:cs="仿宋_GB2312"/>
          <w:bCs/>
          <w:i w:val="0"/>
          <w:iCs w:val="0"/>
          <w:sz w:val="24"/>
          <w:highlight w:val="none"/>
          <w:lang w:val="zh-CN"/>
        </w:rPr>
      </w:pPr>
      <w:r>
        <w:rPr>
          <w:rFonts w:hint="eastAsia" w:ascii="仿宋_GB2312" w:hAnsi="仿宋_GB2312" w:eastAsia="仿宋_GB2312" w:cs="仿宋_GB2312"/>
          <w:b/>
          <w:bCs/>
          <w:i w:val="0"/>
          <w:iCs w:val="0"/>
          <w:sz w:val="24"/>
          <w:highlight w:val="none"/>
          <w:lang w:val="zh-CN"/>
        </w:rPr>
        <w:t>甲方：</w:t>
      </w:r>
      <w:r>
        <w:rPr>
          <w:rFonts w:hint="eastAsia" w:ascii="仿宋_GB2312" w:hAnsi="仿宋_GB2312" w:eastAsia="仿宋_GB2312" w:cs="仿宋_GB2312"/>
          <w:bCs/>
          <w:i w:val="0"/>
          <w:iCs w:val="0"/>
          <w:sz w:val="24"/>
          <w:highlight w:val="none"/>
          <w:u w:val="single"/>
          <w:lang w:val="en-US" w:eastAsia="zh-CN"/>
        </w:rPr>
        <w:t xml:space="preserve">                  </w:t>
      </w:r>
      <w:r>
        <w:rPr>
          <w:rFonts w:hint="eastAsia" w:ascii="仿宋_GB2312" w:hAnsi="仿宋_GB2312" w:eastAsia="仿宋_GB2312" w:cs="仿宋_GB2312"/>
          <w:bCs/>
          <w:i w:val="0"/>
          <w:iCs w:val="0"/>
          <w:sz w:val="24"/>
          <w:highlight w:val="none"/>
          <w:lang w:val="zh-CN"/>
        </w:rPr>
        <w:t xml:space="preserve"> </w:t>
      </w:r>
    </w:p>
    <w:p w14:paraId="1F521137">
      <w:pPr>
        <w:tabs>
          <w:tab w:val="left" w:pos="735"/>
        </w:tabs>
        <w:autoSpaceDE w:val="0"/>
        <w:autoSpaceDN w:val="0"/>
        <w:adjustRightInd w:val="0"/>
        <w:snapToGrid w:val="0"/>
        <w:spacing w:line="560" w:lineRule="exact"/>
        <w:rPr>
          <w:rFonts w:hint="eastAsia" w:ascii="仿宋_GB2312" w:hAnsi="仿宋_GB2312" w:eastAsia="仿宋_GB2312" w:cs="仿宋_GB2312"/>
          <w:bCs/>
          <w:i w:val="0"/>
          <w:iCs w:val="0"/>
          <w:sz w:val="24"/>
          <w:highlight w:val="none"/>
          <w:u w:val="single"/>
          <w:lang w:val="en-US" w:eastAsia="zh-CN"/>
        </w:rPr>
      </w:pPr>
      <w:r>
        <w:rPr>
          <w:rFonts w:hint="eastAsia" w:ascii="仿宋_GB2312" w:hAnsi="仿宋_GB2312" w:eastAsia="仿宋_GB2312" w:cs="仿宋_GB2312"/>
          <w:b/>
          <w:bCs/>
          <w:i w:val="0"/>
          <w:iCs w:val="0"/>
          <w:sz w:val="24"/>
          <w:highlight w:val="none"/>
          <w:lang w:val="zh-CN"/>
        </w:rPr>
        <w:t>乙方：</w:t>
      </w:r>
      <w:r>
        <w:rPr>
          <w:rFonts w:hint="eastAsia" w:ascii="仿宋_GB2312" w:hAnsi="仿宋_GB2312" w:eastAsia="仿宋_GB2312" w:cs="仿宋_GB2312"/>
          <w:b/>
          <w:bCs/>
          <w:i w:val="0"/>
          <w:iCs w:val="0"/>
          <w:sz w:val="24"/>
          <w:highlight w:val="none"/>
          <w:u w:val="single"/>
          <w:lang w:val="en-US" w:eastAsia="zh-CN"/>
        </w:rPr>
        <w:t xml:space="preserve">                  </w:t>
      </w:r>
    </w:p>
    <w:p w14:paraId="0D0BA57D">
      <w:pPr>
        <w:tabs>
          <w:tab w:val="left" w:pos="735"/>
        </w:tabs>
        <w:autoSpaceDE w:val="0"/>
        <w:autoSpaceDN w:val="0"/>
        <w:adjustRightInd w:val="0"/>
        <w:snapToGrid w:val="0"/>
        <w:spacing w:line="560" w:lineRule="exact"/>
        <w:ind w:firstLine="482" w:firstLineChars="200"/>
        <w:rPr>
          <w:rFonts w:hint="eastAsia" w:ascii="仿宋_GB2312" w:hAnsi="仿宋_GB2312" w:eastAsia="仿宋_GB2312" w:cs="仿宋_GB2312"/>
          <w:b/>
          <w:bCs/>
          <w:i w:val="0"/>
          <w:iCs w:val="0"/>
          <w:sz w:val="24"/>
          <w:highlight w:val="none"/>
          <w:lang w:val="zh-CN"/>
        </w:rPr>
      </w:pPr>
      <w:r>
        <w:rPr>
          <w:rFonts w:hint="eastAsia" w:ascii="仿宋_GB2312" w:hAnsi="仿宋_GB2312" w:eastAsia="仿宋_GB2312" w:cs="仿宋_GB2312"/>
          <w:b/>
          <w:bCs/>
          <w:i w:val="0"/>
          <w:iCs w:val="0"/>
          <w:sz w:val="24"/>
          <w:highlight w:val="none"/>
          <w:lang w:val="zh-CN"/>
        </w:rPr>
        <w:t xml:space="preserve">一、合同内容: </w:t>
      </w:r>
    </w:p>
    <w:p w14:paraId="64652661">
      <w:pPr>
        <w:tabs>
          <w:tab w:val="left" w:pos="735"/>
        </w:tabs>
        <w:autoSpaceDE w:val="0"/>
        <w:autoSpaceDN w:val="0"/>
        <w:adjustRightInd w:val="0"/>
        <w:snapToGrid w:val="0"/>
        <w:spacing w:line="560" w:lineRule="exact"/>
        <w:ind w:firstLine="482" w:firstLineChars="200"/>
        <w:rPr>
          <w:rFonts w:hint="eastAsia" w:ascii="仿宋_GB2312" w:hAnsi="仿宋_GB2312" w:eastAsia="仿宋_GB2312" w:cs="仿宋_GB2312"/>
          <w:b/>
          <w:bCs/>
          <w:i w:val="0"/>
          <w:iCs w:val="0"/>
          <w:sz w:val="24"/>
          <w:highlight w:val="none"/>
          <w:lang w:val="zh-CN"/>
        </w:rPr>
      </w:pPr>
      <w:r>
        <w:rPr>
          <w:rFonts w:hint="eastAsia" w:ascii="仿宋_GB2312" w:hAnsi="仿宋_GB2312" w:eastAsia="仿宋_GB2312" w:cs="仿宋_GB2312"/>
          <w:b/>
          <w:bCs/>
          <w:i w:val="0"/>
          <w:iCs w:val="0"/>
          <w:sz w:val="24"/>
          <w:highlight w:val="none"/>
          <w:lang w:val="zh-CN"/>
        </w:rPr>
        <w:t>二、合同价款：</w:t>
      </w:r>
    </w:p>
    <w:p w14:paraId="4860FFC1">
      <w:pPr>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1、合同总价：</w:t>
      </w:r>
      <w:r>
        <w:rPr>
          <w:rFonts w:hint="eastAsia" w:ascii="仿宋_GB2312" w:hAnsi="仿宋_GB2312" w:eastAsia="仿宋_GB2312" w:cs="仿宋_GB2312"/>
          <w:i w:val="0"/>
          <w:iCs w:val="0"/>
          <w:sz w:val="24"/>
          <w:highlight w:val="none"/>
          <w:u w:val="single"/>
        </w:rPr>
        <w:t xml:space="preserve">     </w:t>
      </w:r>
      <w:r>
        <w:rPr>
          <w:rFonts w:hint="eastAsia" w:ascii="仿宋_GB2312" w:hAnsi="仿宋_GB2312" w:eastAsia="仿宋_GB2312" w:cs="仿宋_GB2312"/>
          <w:i w:val="0"/>
          <w:iCs w:val="0"/>
          <w:sz w:val="24"/>
          <w:highlight w:val="none"/>
          <w:u w:val="single"/>
          <w:lang w:val="en-US" w:eastAsia="zh-CN"/>
        </w:rPr>
        <w:t xml:space="preserve">     </w:t>
      </w:r>
      <w:r>
        <w:rPr>
          <w:rFonts w:hint="eastAsia" w:ascii="仿宋_GB2312" w:hAnsi="仿宋_GB2312" w:eastAsia="仿宋_GB2312" w:cs="仿宋_GB2312"/>
          <w:i w:val="0"/>
          <w:iCs w:val="0"/>
          <w:sz w:val="24"/>
          <w:highlight w:val="none"/>
          <w:u w:val="single"/>
        </w:rPr>
        <w:t xml:space="preserve"> </w:t>
      </w:r>
    </w:p>
    <w:p w14:paraId="4403A6FB">
      <w:pPr>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2、合同总价包括：包括完成本项目并达到磋商文件要求所需要的全部费用，包括但不限于完成本次项目所需的设备费、人工费、服务费、管理费、税金等所有费用（包含由甲方组织的相关行业专家技术评审和成果验收等产生的费用）。</w:t>
      </w:r>
    </w:p>
    <w:p w14:paraId="00EBD648">
      <w:pPr>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3、</w:t>
      </w:r>
      <w:bookmarkStart w:id="0" w:name="_Hlk79684685"/>
      <w:r>
        <w:rPr>
          <w:rFonts w:hint="eastAsia" w:ascii="仿宋_GB2312" w:hAnsi="仿宋_GB2312" w:eastAsia="仿宋_GB2312" w:cs="仿宋_GB2312"/>
          <w:i w:val="0"/>
          <w:iCs w:val="0"/>
          <w:sz w:val="24"/>
          <w:highlight w:val="none"/>
        </w:rPr>
        <w:t>合同总价一次包死，不受市场价变化的影响</w:t>
      </w:r>
      <w:bookmarkEnd w:id="0"/>
      <w:r>
        <w:rPr>
          <w:rFonts w:hint="eastAsia" w:ascii="仿宋_GB2312" w:hAnsi="仿宋_GB2312" w:eastAsia="仿宋_GB2312" w:cs="仿宋_GB2312"/>
          <w:i w:val="0"/>
          <w:iCs w:val="0"/>
          <w:sz w:val="24"/>
          <w:highlight w:val="none"/>
        </w:rPr>
        <w:t>。</w:t>
      </w:r>
    </w:p>
    <w:p w14:paraId="08ADD5C3">
      <w:pPr>
        <w:tabs>
          <w:tab w:val="left" w:pos="735"/>
        </w:tabs>
        <w:autoSpaceDE w:val="0"/>
        <w:autoSpaceDN w:val="0"/>
        <w:adjustRightInd w:val="0"/>
        <w:snapToGrid w:val="0"/>
        <w:spacing w:line="560" w:lineRule="exact"/>
        <w:ind w:firstLine="482" w:firstLineChars="200"/>
        <w:rPr>
          <w:rFonts w:hint="eastAsia" w:ascii="仿宋_GB2312" w:hAnsi="仿宋_GB2312" w:eastAsia="仿宋_GB2312" w:cs="仿宋_GB2312"/>
          <w:b/>
          <w:bCs/>
          <w:i w:val="0"/>
          <w:iCs w:val="0"/>
          <w:sz w:val="24"/>
          <w:highlight w:val="none"/>
          <w:lang w:val="zh-CN"/>
        </w:rPr>
      </w:pPr>
      <w:r>
        <w:rPr>
          <w:rFonts w:hint="eastAsia" w:ascii="仿宋_GB2312" w:hAnsi="仿宋_GB2312" w:eastAsia="仿宋_GB2312" w:cs="仿宋_GB2312"/>
          <w:b/>
          <w:bCs/>
          <w:i w:val="0"/>
          <w:iCs w:val="0"/>
          <w:sz w:val="24"/>
          <w:highlight w:val="none"/>
          <w:lang w:val="zh-CN"/>
        </w:rPr>
        <w:t>三、合同结算：</w:t>
      </w:r>
    </w:p>
    <w:p w14:paraId="785EF120">
      <w:pPr>
        <w:adjustRightInd w:val="0"/>
        <w:snapToGrid w:val="0"/>
        <w:spacing w:line="560" w:lineRule="exact"/>
        <w:ind w:firstLine="480" w:firstLineChars="200"/>
        <w:rPr>
          <w:rFonts w:hint="eastAsia" w:ascii="仿宋_GB2312" w:hAnsi="仿宋_GB2312" w:eastAsia="仿宋_GB2312" w:cs="仿宋_GB2312"/>
          <w:i w:val="0"/>
          <w:iCs w:val="0"/>
          <w:sz w:val="24"/>
          <w:highlight w:val="none"/>
          <w:lang w:val="en-US" w:eastAsia="zh-CN"/>
        </w:rPr>
      </w:pPr>
      <w:bookmarkStart w:id="1" w:name="_Hlk79684762"/>
      <w:r>
        <w:rPr>
          <w:rFonts w:hint="eastAsia" w:ascii="仿宋_GB2312" w:hAnsi="仿宋_GB2312" w:eastAsia="仿宋_GB2312" w:cs="仿宋_GB2312"/>
          <w:i w:val="0"/>
          <w:iCs w:val="0"/>
          <w:sz w:val="24"/>
          <w:highlight w:val="none"/>
        </w:rPr>
        <w:t>1、</w:t>
      </w:r>
      <w:r>
        <w:rPr>
          <w:rFonts w:hint="eastAsia" w:ascii="仿宋_GB2312" w:hAnsi="仿宋_GB2312" w:eastAsia="仿宋_GB2312" w:cs="仿宋_GB2312"/>
          <w:i w:val="0"/>
          <w:iCs w:val="0"/>
          <w:sz w:val="24"/>
          <w:highlight w:val="none"/>
          <w:lang w:val="en-US" w:eastAsia="zh-CN"/>
        </w:rPr>
        <w:t>付款方式：</w:t>
      </w:r>
    </w:p>
    <w:p w14:paraId="5B0DBD2B">
      <w:pPr>
        <w:adjustRightInd w:val="0"/>
        <w:snapToGrid w:val="0"/>
        <w:spacing w:line="560" w:lineRule="exact"/>
        <w:ind w:firstLine="480" w:firstLineChars="200"/>
        <w:rPr>
          <w:rFonts w:hint="eastAsia" w:ascii="仿宋_GB2312" w:hAnsi="仿宋_GB2312" w:eastAsia="仿宋_GB2312" w:cs="仿宋_GB2312"/>
          <w:i w:val="0"/>
          <w:iCs w:val="0"/>
          <w:sz w:val="24"/>
          <w:highlight w:val="none"/>
          <w:lang w:eastAsia="zh-CN"/>
        </w:rPr>
      </w:pPr>
      <w:r>
        <w:rPr>
          <w:rFonts w:hint="eastAsia" w:ascii="仿宋_GB2312" w:hAnsi="仿宋_GB2312" w:eastAsia="仿宋_GB2312" w:cs="仿宋_GB2312"/>
          <w:i w:val="0"/>
          <w:iCs w:val="0"/>
          <w:sz w:val="24"/>
          <w:highlight w:val="none"/>
        </w:rPr>
        <w:t>合同签订后，甲方向乙方支付合同金额的40%,剩余尾款按项目实施进度支付</w:t>
      </w:r>
      <w:r>
        <w:rPr>
          <w:rFonts w:hint="eastAsia" w:ascii="仿宋_GB2312" w:hAnsi="仿宋_GB2312" w:eastAsia="仿宋_GB2312" w:cs="仿宋_GB2312"/>
          <w:i w:val="0"/>
          <w:iCs w:val="0"/>
          <w:sz w:val="24"/>
          <w:highlight w:val="none"/>
          <w:lang w:eastAsia="zh-CN"/>
        </w:rPr>
        <w:t>。</w:t>
      </w:r>
    </w:p>
    <w:p w14:paraId="570089D7">
      <w:pPr>
        <w:tabs>
          <w:tab w:val="left" w:pos="735"/>
        </w:tabs>
        <w:autoSpaceDE w:val="0"/>
        <w:autoSpaceDN w:val="0"/>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2、结算方式：按照支付程序进行银行转账。</w:t>
      </w:r>
    </w:p>
    <w:p w14:paraId="238E9B48">
      <w:pPr>
        <w:tabs>
          <w:tab w:val="left" w:pos="735"/>
        </w:tabs>
        <w:autoSpaceDE w:val="0"/>
        <w:autoSpaceDN w:val="0"/>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3、结算单位：由甲方负责结算，乙方依据合同条款按甲方要求开具正式发票交采购人。</w:t>
      </w:r>
    </w:p>
    <w:bookmarkEnd w:id="1"/>
    <w:p w14:paraId="67111118">
      <w:pPr>
        <w:tabs>
          <w:tab w:val="left" w:pos="735"/>
        </w:tabs>
        <w:autoSpaceDE w:val="0"/>
        <w:autoSpaceDN w:val="0"/>
        <w:adjustRightInd w:val="0"/>
        <w:snapToGrid w:val="0"/>
        <w:spacing w:line="560" w:lineRule="exact"/>
        <w:ind w:firstLine="482" w:firstLineChars="200"/>
        <w:rPr>
          <w:rFonts w:hint="eastAsia" w:ascii="仿宋_GB2312" w:hAnsi="仿宋_GB2312" w:eastAsia="仿宋_GB2312" w:cs="仿宋_GB2312"/>
          <w:b/>
          <w:bCs/>
          <w:i w:val="0"/>
          <w:iCs w:val="0"/>
          <w:sz w:val="24"/>
          <w:highlight w:val="none"/>
          <w:lang w:val="zh-CN"/>
        </w:rPr>
      </w:pPr>
      <w:r>
        <w:rPr>
          <w:rFonts w:hint="eastAsia" w:ascii="仿宋_GB2312" w:hAnsi="仿宋_GB2312" w:eastAsia="仿宋_GB2312" w:cs="仿宋_GB2312"/>
          <w:b/>
          <w:bCs/>
          <w:i w:val="0"/>
          <w:iCs w:val="0"/>
          <w:sz w:val="24"/>
          <w:highlight w:val="none"/>
          <w:lang w:val="zh-CN"/>
        </w:rPr>
        <w:t>四、服务期限</w:t>
      </w:r>
      <w:bookmarkStart w:id="4" w:name="_GoBack"/>
      <w:bookmarkEnd w:id="4"/>
    </w:p>
    <w:p w14:paraId="335A70AA">
      <w:pPr>
        <w:tabs>
          <w:tab w:val="left" w:pos="735"/>
        </w:tabs>
        <w:autoSpaceDE w:val="0"/>
        <w:autoSpaceDN w:val="0"/>
        <w:adjustRightInd w:val="0"/>
        <w:snapToGrid w:val="0"/>
        <w:spacing w:line="560" w:lineRule="exact"/>
        <w:ind w:firstLine="480" w:firstLineChars="200"/>
        <w:rPr>
          <w:rFonts w:hint="eastAsia" w:ascii="仿宋_GB2312" w:hAnsi="仿宋_GB2312" w:eastAsia="仿宋_GB2312" w:cs="仿宋_GB2312"/>
          <w:i w:val="0"/>
          <w:iCs w:val="0"/>
          <w:sz w:val="24"/>
          <w:highlight w:val="none"/>
          <w:lang w:val="en-US" w:eastAsia="zh-CN"/>
        </w:rPr>
      </w:pPr>
      <w:r>
        <w:rPr>
          <w:rFonts w:hint="eastAsia" w:ascii="仿宋_GB2312" w:hAnsi="仿宋_GB2312" w:eastAsia="仿宋_GB2312" w:cs="仿宋_GB2312"/>
          <w:i w:val="0"/>
          <w:iCs w:val="0"/>
          <w:sz w:val="24"/>
          <w:highlight w:val="none"/>
          <w:lang w:val="en-US" w:eastAsia="zh-CN"/>
        </w:rPr>
        <w:t>合同签订起至服务结束止。</w:t>
      </w:r>
    </w:p>
    <w:p w14:paraId="2129F309">
      <w:pPr>
        <w:tabs>
          <w:tab w:val="left" w:pos="735"/>
        </w:tabs>
        <w:autoSpaceDE w:val="0"/>
        <w:autoSpaceDN w:val="0"/>
        <w:adjustRightInd w:val="0"/>
        <w:snapToGrid w:val="0"/>
        <w:spacing w:line="560" w:lineRule="exact"/>
        <w:ind w:firstLine="482" w:firstLineChars="200"/>
        <w:rPr>
          <w:rFonts w:hint="eastAsia" w:ascii="仿宋_GB2312" w:hAnsi="仿宋_GB2312" w:eastAsia="仿宋_GB2312" w:cs="仿宋_GB2312"/>
          <w:b/>
          <w:bCs/>
          <w:i w:val="0"/>
          <w:iCs w:val="0"/>
          <w:sz w:val="24"/>
          <w:highlight w:val="none"/>
          <w:lang w:val="zh-CN"/>
        </w:rPr>
      </w:pPr>
      <w:r>
        <w:rPr>
          <w:rFonts w:hint="eastAsia" w:ascii="仿宋_GB2312" w:hAnsi="仿宋_GB2312" w:eastAsia="仿宋_GB2312" w:cs="仿宋_GB2312"/>
          <w:b/>
          <w:bCs/>
          <w:i w:val="0"/>
          <w:iCs w:val="0"/>
          <w:sz w:val="24"/>
          <w:highlight w:val="none"/>
          <w:lang w:val="zh-CN"/>
        </w:rPr>
        <w:t>五、工作内容</w:t>
      </w:r>
    </w:p>
    <w:p w14:paraId="53C3724F">
      <w:pPr>
        <w:tabs>
          <w:tab w:val="left" w:pos="735"/>
        </w:tabs>
        <w:autoSpaceDE w:val="0"/>
        <w:autoSpaceDN w:val="0"/>
        <w:adjustRightInd w:val="0"/>
        <w:snapToGrid w:val="0"/>
        <w:spacing w:line="560" w:lineRule="exact"/>
        <w:ind w:firstLine="480" w:firstLineChars="200"/>
        <w:rPr>
          <w:rFonts w:hint="eastAsia" w:ascii="仿宋_GB2312" w:hAnsi="仿宋_GB2312" w:eastAsia="仿宋_GB2312" w:cs="仿宋_GB2312"/>
          <w:b/>
          <w:bCs/>
          <w:i w:val="0"/>
          <w:iCs w:val="0"/>
          <w:sz w:val="24"/>
          <w:highlight w:val="none"/>
          <w:lang w:val="zh-CN"/>
        </w:rPr>
      </w:pPr>
      <w:r>
        <w:rPr>
          <w:rFonts w:hint="eastAsia" w:ascii="仿宋_GB2312" w:hAnsi="仿宋_GB2312" w:eastAsia="仿宋_GB2312" w:cs="仿宋_GB2312"/>
          <w:b w:val="0"/>
          <w:bCs w:val="0"/>
          <w:i w:val="0"/>
          <w:iCs w:val="0"/>
          <w:sz w:val="24"/>
          <w:highlight w:val="none"/>
          <w:lang w:val="zh-CN"/>
        </w:rPr>
        <w:t>编制《渭南市“十五五”农业农村现代化发展规划》。</w:t>
      </w:r>
    </w:p>
    <w:p w14:paraId="04A930C2">
      <w:pPr>
        <w:tabs>
          <w:tab w:val="left" w:pos="735"/>
        </w:tabs>
        <w:autoSpaceDE w:val="0"/>
        <w:autoSpaceDN w:val="0"/>
        <w:adjustRightInd w:val="0"/>
        <w:snapToGrid w:val="0"/>
        <w:spacing w:line="560" w:lineRule="exact"/>
        <w:ind w:firstLine="482" w:firstLineChars="200"/>
        <w:rPr>
          <w:rFonts w:hint="eastAsia" w:ascii="仿宋_GB2312" w:hAnsi="仿宋_GB2312" w:eastAsia="仿宋_GB2312" w:cs="仿宋_GB2312"/>
          <w:b/>
          <w:bCs/>
          <w:i w:val="0"/>
          <w:iCs w:val="0"/>
          <w:sz w:val="24"/>
          <w:highlight w:val="none"/>
          <w:lang w:val="zh-CN"/>
        </w:rPr>
      </w:pPr>
      <w:r>
        <w:rPr>
          <w:rFonts w:hint="eastAsia" w:ascii="仿宋_GB2312" w:hAnsi="仿宋_GB2312" w:eastAsia="仿宋_GB2312" w:cs="仿宋_GB2312"/>
          <w:b/>
          <w:bCs/>
          <w:i w:val="0"/>
          <w:iCs w:val="0"/>
          <w:sz w:val="24"/>
          <w:highlight w:val="none"/>
          <w:lang w:val="zh-CN"/>
        </w:rPr>
        <w:t>六、甲方的权利与义务</w:t>
      </w:r>
    </w:p>
    <w:p w14:paraId="4904B9CC">
      <w:pPr>
        <w:tabs>
          <w:tab w:val="left" w:pos="735"/>
        </w:tabs>
        <w:autoSpaceDE w:val="0"/>
        <w:autoSpaceDN w:val="0"/>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1、甲方有权对合同规定范围内乙方的服务行为进行监督和检查，拥有监管权。有权核对乙方提供服务所配备的人员数量。对甲方认为不合理的部分有权下达整改通知书，并要求乙方限期整改。</w:t>
      </w:r>
    </w:p>
    <w:p w14:paraId="4B43DCD7">
      <w:pPr>
        <w:tabs>
          <w:tab w:val="left" w:pos="735"/>
        </w:tabs>
        <w:autoSpaceDE w:val="0"/>
        <w:autoSpaceDN w:val="0"/>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2、甲方有权负责检查监督乙方管理工作的实施及制度的执行情况。</w:t>
      </w:r>
    </w:p>
    <w:p w14:paraId="02343F33">
      <w:pPr>
        <w:tabs>
          <w:tab w:val="left" w:pos="735"/>
        </w:tabs>
        <w:autoSpaceDE w:val="0"/>
        <w:autoSpaceDN w:val="0"/>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3、甲方应根据本合同规定，按时向乙方支付应付服务费用。</w:t>
      </w:r>
    </w:p>
    <w:p w14:paraId="3C2A1181">
      <w:pPr>
        <w:tabs>
          <w:tab w:val="left" w:pos="735"/>
        </w:tabs>
        <w:autoSpaceDE w:val="0"/>
        <w:autoSpaceDN w:val="0"/>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4、国家法律、法规所规定由甲方承担的其它责任。</w:t>
      </w:r>
    </w:p>
    <w:p w14:paraId="78023ADF">
      <w:pPr>
        <w:tabs>
          <w:tab w:val="left" w:pos="735"/>
        </w:tabs>
        <w:autoSpaceDE w:val="0"/>
        <w:autoSpaceDN w:val="0"/>
        <w:adjustRightInd w:val="0"/>
        <w:snapToGrid w:val="0"/>
        <w:spacing w:line="560" w:lineRule="exact"/>
        <w:ind w:firstLine="482" w:firstLineChars="200"/>
        <w:rPr>
          <w:rFonts w:hint="eastAsia" w:ascii="仿宋_GB2312" w:hAnsi="仿宋_GB2312" w:eastAsia="仿宋_GB2312" w:cs="仿宋_GB2312"/>
          <w:b/>
          <w:bCs/>
          <w:i w:val="0"/>
          <w:iCs w:val="0"/>
          <w:sz w:val="24"/>
          <w:highlight w:val="none"/>
          <w:lang w:val="zh-CN"/>
        </w:rPr>
      </w:pPr>
      <w:r>
        <w:rPr>
          <w:rFonts w:hint="eastAsia" w:ascii="仿宋_GB2312" w:hAnsi="仿宋_GB2312" w:eastAsia="仿宋_GB2312" w:cs="仿宋_GB2312"/>
          <w:b/>
          <w:bCs/>
          <w:i w:val="0"/>
          <w:iCs w:val="0"/>
          <w:sz w:val="24"/>
          <w:highlight w:val="none"/>
          <w:lang w:val="zh-CN"/>
        </w:rPr>
        <w:t>七、乙方的权利与义务</w:t>
      </w:r>
    </w:p>
    <w:p w14:paraId="2469C72C">
      <w:pPr>
        <w:tabs>
          <w:tab w:val="left" w:pos="735"/>
        </w:tabs>
        <w:autoSpaceDE w:val="0"/>
        <w:autoSpaceDN w:val="0"/>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1、对本合同规定的委托服务范围内的项目享有管理权及服务义务。</w:t>
      </w:r>
    </w:p>
    <w:p w14:paraId="322231E0">
      <w:pPr>
        <w:tabs>
          <w:tab w:val="left" w:pos="735"/>
        </w:tabs>
        <w:autoSpaceDE w:val="0"/>
        <w:autoSpaceDN w:val="0"/>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2、根据本合同的规定向甲方收取相关服务费用，并有权在本项目管理范围内管理及合理使用。</w:t>
      </w:r>
    </w:p>
    <w:p w14:paraId="2D83E058">
      <w:pPr>
        <w:tabs>
          <w:tab w:val="left" w:pos="735"/>
        </w:tabs>
        <w:autoSpaceDE w:val="0"/>
        <w:autoSpaceDN w:val="0"/>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3、乙方应及时向甲方通告本项目服务范围内有关服务的重大事项，及时配合处理各种突发事件。</w:t>
      </w:r>
    </w:p>
    <w:p w14:paraId="4CAF3D2E">
      <w:pPr>
        <w:tabs>
          <w:tab w:val="left" w:pos="735"/>
        </w:tabs>
        <w:autoSpaceDE w:val="0"/>
        <w:autoSpaceDN w:val="0"/>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4、乙方接受项目行业管理部门及政府有关部门的指导，接受甲方的监督。</w:t>
      </w:r>
    </w:p>
    <w:p w14:paraId="0AF741F7">
      <w:pPr>
        <w:tabs>
          <w:tab w:val="left" w:pos="735"/>
        </w:tabs>
        <w:autoSpaceDE w:val="0"/>
        <w:autoSpaceDN w:val="0"/>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5、国家法律、法规所规定由乙方承担的其它责任。</w:t>
      </w:r>
    </w:p>
    <w:p w14:paraId="669500A1">
      <w:pPr>
        <w:tabs>
          <w:tab w:val="left" w:pos="735"/>
        </w:tabs>
        <w:autoSpaceDE w:val="0"/>
        <w:autoSpaceDN w:val="0"/>
        <w:adjustRightInd w:val="0"/>
        <w:snapToGrid w:val="0"/>
        <w:spacing w:line="560" w:lineRule="exact"/>
        <w:ind w:firstLine="482" w:firstLineChars="200"/>
        <w:rPr>
          <w:rFonts w:hint="eastAsia" w:ascii="仿宋_GB2312" w:hAnsi="仿宋_GB2312" w:eastAsia="仿宋_GB2312" w:cs="仿宋_GB2312"/>
          <w:b/>
          <w:bCs/>
          <w:i w:val="0"/>
          <w:iCs w:val="0"/>
          <w:sz w:val="24"/>
          <w:highlight w:val="none"/>
          <w:lang w:val="zh-CN"/>
        </w:rPr>
      </w:pPr>
      <w:r>
        <w:rPr>
          <w:rFonts w:hint="eastAsia" w:ascii="仿宋_GB2312" w:hAnsi="仿宋_GB2312" w:eastAsia="仿宋_GB2312" w:cs="仿宋_GB2312"/>
          <w:b/>
          <w:bCs/>
          <w:i w:val="0"/>
          <w:iCs w:val="0"/>
          <w:sz w:val="24"/>
          <w:highlight w:val="none"/>
          <w:lang w:val="zh-CN"/>
        </w:rPr>
        <w:t>八、验收标准</w:t>
      </w:r>
    </w:p>
    <w:p w14:paraId="027ABDC4">
      <w:pPr>
        <w:tabs>
          <w:tab w:val="left" w:pos="735"/>
        </w:tabs>
        <w:autoSpaceDE w:val="0"/>
        <w:autoSpaceDN w:val="0"/>
        <w:adjustRightInd w:val="0"/>
        <w:snapToGrid w:val="0"/>
        <w:spacing w:line="560" w:lineRule="exact"/>
        <w:ind w:firstLine="480" w:firstLineChars="200"/>
        <w:rPr>
          <w:rFonts w:hint="default" w:ascii="仿宋_GB2312" w:hAnsi="仿宋_GB2312" w:eastAsia="仿宋_GB2312" w:cs="仿宋_GB2312"/>
          <w:i w:val="0"/>
          <w:iCs w:val="0"/>
          <w:sz w:val="24"/>
          <w:highlight w:val="none"/>
          <w:lang w:val="en-US" w:eastAsia="zh-CN"/>
        </w:rPr>
      </w:pPr>
      <w:bookmarkStart w:id="2" w:name="_Hlk106786026"/>
      <w:r>
        <w:rPr>
          <w:rFonts w:hint="eastAsia" w:ascii="仿宋_GB2312" w:hAnsi="仿宋_GB2312" w:eastAsia="仿宋_GB2312" w:cs="仿宋_GB2312"/>
          <w:i w:val="0"/>
          <w:iCs w:val="0"/>
          <w:sz w:val="24"/>
          <w:highlight w:val="none"/>
          <w:lang w:val="en-US" w:eastAsia="zh-CN"/>
        </w:rPr>
        <w:t>1、满足国家及行业相关质量要求和标准。</w:t>
      </w:r>
    </w:p>
    <w:p w14:paraId="7A949AAD">
      <w:pPr>
        <w:tabs>
          <w:tab w:val="left" w:pos="735"/>
        </w:tabs>
        <w:autoSpaceDE w:val="0"/>
        <w:autoSpaceDN w:val="0"/>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lang w:val="en-US" w:eastAsia="zh-CN"/>
        </w:rPr>
        <w:t>2、</w:t>
      </w:r>
      <w:r>
        <w:rPr>
          <w:rFonts w:hint="eastAsia" w:ascii="仿宋_GB2312" w:hAnsi="仿宋_GB2312" w:eastAsia="仿宋_GB2312" w:cs="仿宋_GB2312"/>
          <w:i w:val="0"/>
          <w:iCs w:val="0"/>
          <w:sz w:val="24"/>
          <w:highlight w:val="none"/>
        </w:rPr>
        <w:t>依据竞争性磋商文件、磋商响应文件、成交通知书、合同文件及国家相关规范及标准进行验收</w:t>
      </w:r>
      <w:bookmarkEnd w:id="2"/>
      <w:r>
        <w:rPr>
          <w:rFonts w:hint="eastAsia" w:ascii="仿宋_GB2312" w:hAnsi="仿宋_GB2312" w:eastAsia="仿宋_GB2312" w:cs="仿宋_GB2312"/>
          <w:i w:val="0"/>
          <w:iCs w:val="0"/>
          <w:sz w:val="24"/>
          <w:highlight w:val="none"/>
        </w:rPr>
        <w:t>。</w:t>
      </w:r>
    </w:p>
    <w:p w14:paraId="2CD9BC5B">
      <w:pPr>
        <w:tabs>
          <w:tab w:val="left" w:pos="735"/>
        </w:tabs>
        <w:autoSpaceDE w:val="0"/>
        <w:autoSpaceDN w:val="0"/>
        <w:adjustRightInd w:val="0"/>
        <w:snapToGrid w:val="0"/>
        <w:spacing w:line="560" w:lineRule="exact"/>
        <w:ind w:firstLine="482" w:firstLineChars="200"/>
        <w:rPr>
          <w:rFonts w:hint="eastAsia" w:ascii="仿宋_GB2312" w:hAnsi="仿宋_GB2312" w:eastAsia="仿宋_GB2312" w:cs="仿宋_GB2312"/>
          <w:b/>
          <w:bCs/>
          <w:i w:val="0"/>
          <w:iCs w:val="0"/>
          <w:sz w:val="24"/>
          <w:highlight w:val="none"/>
          <w:lang w:val="zh-CN"/>
        </w:rPr>
      </w:pPr>
      <w:r>
        <w:rPr>
          <w:rFonts w:hint="eastAsia" w:ascii="仿宋_GB2312" w:hAnsi="仿宋_GB2312" w:eastAsia="仿宋_GB2312" w:cs="仿宋_GB2312"/>
          <w:b/>
          <w:bCs/>
          <w:i w:val="0"/>
          <w:iCs w:val="0"/>
          <w:sz w:val="24"/>
          <w:highlight w:val="none"/>
          <w:lang w:val="zh-CN"/>
        </w:rPr>
        <w:t>九、违约责任及协议的解除</w:t>
      </w:r>
    </w:p>
    <w:p w14:paraId="19DDDD5A">
      <w:pPr>
        <w:tabs>
          <w:tab w:val="left" w:pos="735"/>
        </w:tabs>
        <w:autoSpaceDE w:val="0"/>
        <w:autoSpaceDN w:val="0"/>
        <w:adjustRightInd w:val="0"/>
        <w:snapToGrid w:val="0"/>
        <w:spacing w:line="560" w:lineRule="exact"/>
        <w:ind w:firstLine="480" w:firstLineChars="200"/>
        <w:jc w:val="both"/>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1、甲乙双方必须遵守本合同并执行合同中的各项规定，保证本合同的正常履行。</w:t>
      </w:r>
    </w:p>
    <w:p w14:paraId="20D83DAB">
      <w:pPr>
        <w:tabs>
          <w:tab w:val="left" w:pos="735"/>
        </w:tabs>
        <w:autoSpaceDE w:val="0"/>
        <w:autoSpaceDN w:val="0"/>
        <w:adjustRightInd w:val="0"/>
        <w:snapToGrid w:val="0"/>
        <w:spacing w:line="560" w:lineRule="exact"/>
        <w:ind w:firstLine="480" w:firstLineChars="200"/>
        <w:jc w:val="both"/>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2、因乙方在履行合同中遗留或造成隐患及瑕疵和因乙方工作人员在履行职务过程中的疏忽、失职、过错等故意或者过失原因给甲方造成损失或侵害，包括但不限于甲方本身的财产损失、由此而导致的甲方对任何第三方的法律责任等，包括解决纷争律师费用及相关费用，乙方对此均应承担全部的赔偿责任。</w:t>
      </w:r>
    </w:p>
    <w:p w14:paraId="660B4D5A">
      <w:pPr>
        <w:tabs>
          <w:tab w:val="left" w:pos="735"/>
        </w:tabs>
        <w:autoSpaceDE w:val="0"/>
        <w:autoSpaceDN w:val="0"/>
        <w:adjustRightInd w:val="0"/>
        <w:snapToGrid w:val="0"/>
        <w:spacing w:line="560" w:lineRule="exact"/>
        <w:ind w:firstLine="482" w:firstLineChars="200"/>
        <w:rPr>
          <w:rFonts w:hint="eastAsia" w:ascii="仿宋_GB2312" w:hAnsi="仿宋_GB2312" w:eastAsia="仿宋_GB2312" w:cs="仿宋_GB2312"/>
          <w:b/>
          <w:bCs/>
          <w:i w:val="0"/>
          <w:iCs w:val="0"/>
          <w:sz w:val="24"/>
          <w:highlight w:val="none"/>
          <w:lang w:val="zh-CN"/>
        </w:rPr>
      </w:pPr>
      <w:r>
        <w:rPr>
          <w:rFonts w:hint="eastAsia" w:ascii="仿宋_GB2312" w:hAnsi="仿宋_GB2312" w:eastAsia="仿宋_GB2312" w:cs="仿宋_GB2312"/>
          <w:b/>
          <w:bCs/>
          <w:i w:val="0"/>
          <w:iCs w:val="0"/>
          <w:sz w:val="24"/>
          <w:highlight w:val="none"/>
          <w:lang w:val="zh-CN"/>
        </w:rPr>
        <w:t>十、争议解决方式</w:t>
      </w:r>
    </w:p>
    <w:p w14:paraId="6409DF7B">
      <w:pPr>
        <w:adjustRightInd w:val="0"/>
        <w:snapToGrid w:val="0"/>
        <w:spacing w:line="560" w:lineRule="exact"/>
        <w:ind w:firstLine="480" w:firstLineChars="200"/>
        <w:rPr>
          <w:rFonts w:hint="eastAsia" w:ascii="仿宋_GB2312" w:hAnsi="仿宋_GB2312" w:eastAsia="仿宋_GB2312" w:cs="仿宋_GB2312"/>
          <w:i w:val="0"/>
          <w:iCs w:val="0"/>
          <w:sz w:val="24"/>
          <w:highlight w:val="none"/>
          <w:lang w:val="zh-CN"/>
        </w:rPr>
      </w:pPr>
      <w:r>
        <w:rPr>
          <w:rFonts w:hint="eastAsia" w:ascii="仿宋_GB2312" w:hAnsi="仿宋_GB2312" w:eastAsia="仿宋_GB2312" w:cs="仿宋_GB2312"/>
          <w:i w:val="0"/>
          <w:iCs w:val="0"/>
          <w:sz w:val="24"/>
          <w:highlight w:val="none"/>
          <w:lang w:val="zh-CN"/>
        </w:rPr>
        <w:t>甲、乙双方在协议履行过程中发生争议的，应及时协商解决。</w:t>
      </w:r>
    </w:p>
    <w:p w14:paraId="677C2DEA">
      <w:pPr>
        <w:tabs>
          <w:tab w:val="left" w:pos="735"/>
        </w:tabs>
        <w:autoSpaceDE w:val="0"/>
        <w:autoSpaceDN w:val="0"/>
        <w:adjustRightInd w:val="0"/>
        <w:snapToGrid w:val="0"/>
        <w:spacing w:line="560" w:lineRule="exact"/>
        <w:ind w:firstLine="482" w:firstLineChars="200"/>
        <w:rPr>
          <w:rFonts w:hint="eastAsia" w:ascii="仿宋_GB2312" w:hAnsi="仿宋_GB2312" w:eastAsia="仿宋_GB2312" w:cs="仿宋_GB2312"/>
          <w:b/>
          <w:bCs/>
          <w:i w:val="0"/>
          <w:iCs w:val="0"/>
          <w:sz w:val="24"/>
          <w:highlight w:val="none"/>
          <w:lang w:val="zh-CN"/>
        </w:rPr>
      </w:pPr>
      <w:r>
        <w:rPr>
          <w:rFonts w:hint="eastAsia" w:ascii="仿宋_GB2312" w:hAnsi="仿宋_GB2312" w:eastAsia="仿宋_GB2312" w:cs="仿宋_GB2312"/>
          <w:b/>
          <w:bCs/>
          <w:i w:val="0"/>
          <w:iCs w:val="0"/>
          <w:sz w:val="24"/>
          <w:highlight w:val="none"/>
          <w:lang w:val="zh-CN"/>
        </w:rPr>
        <w:t>十一、其他</w:t>
      </w:r>
    </w:p>
    <w:p w14:paraId="5FB35AED">
      <w:pPr>
        <w:spacing w:line="4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在合同有效期内，任何一方因不可抗力事件导致不能履行合同，则合同履行期可延长，其延长期与不可抗力影响期相同，本合同履行地为甲方所在地。</w:t>
      </w:r>
    </w:p>
    <w:p w14:paraId="05C2A103">
      <w:pPr>
        <w:tabs>
          <w:tab w:val="left" w:pos="735"/>
        </w:tabs>
        <w:autoSpaceDE w:val="0"/>
        <w:autoSpaceDN w:val="0"/>
        <w:adjustRightInd w:val="0"/>
        <w:snapToGrid w:val="0"/>
        <w:spacing w:line="560" w:lineRule="exact"/>
        <w:ind w:firstLine="482" w:firstLineChars="200"/>
        <w:rPr>
          <w:rFonts w:hint="eastAsia" w:ascii="仿宋_GB2312" w:hAnsi="仿宋_GB2312" w:eastAsia="仿宋_GB2312" w:cs="仿宋_GB2312"/>
          <w:b/>
          <w:bCs/>
          <w:i w:val="0"/>
          <w:iCs w:val="0"/>
          <w:sz w:val="24"/>
          <w:highlight w:val="none"/>
          <w:lang w:val="zh-CN"/>
        </w:rPr>
      </w:pPr>
      <w:r>
        <w:rPr>
          <w:rFonts w:hint="eastAsia" w:ascii="仿宋_GB2312" w:hAnsi="仿宋_GB2312" w:eastAsia="仿宋_GB2312" w:cs="仿宋_GB2312"/>
          <w:b/>
          <w:bCs/>
          <w:i w:val="0"/>
          <w:iCs w:val="0"/>
          <w:sz w:val="24"/>
          <w:highlight w:val="none"/>
          <w:lang w:val="zh-CN"/>
        </w:rPr>
        <w:t>十二、合同组成</w:t>
      </w:r>
    </w:p>
    <w:p w14:paraId="23BAB435">
      <w:pPr>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bookmarkStart w:id="3" w:name="_Hlk87194136"/>
      <w:r>
        <w:rPr>
          <w:rFonts w:hint="eastAsia" w:ascii="仿宋_GB2312" w:hAnsi="仿宋_GB2312" w:eastAsia="仿宋_GB2312" w:cs="仿宋_GB2312"/>
          <w:i w:val="0"/>
          <w:iCs w:val="0"/>
          <w:sz w:val="24"/>
          <w:highlight w:val="none"/>
        </w:rPr>
        <w:t>1、成交通知书</w:t>
      </w:r>
    </w:p>
    <w:p w14:paraId="4594E060">
      <w:pPr>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2、合同文件</w:t>
      </w:r>
    </w:p>
    <w:p w14:paraId="27D5DA4A">
      <w:pPr>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3、国家相关规范及标准</w:t>
      </w:r>
    </w:p>
    <w:p w14:paraId="1F80C0E2">
      <w:pPr>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4、服务标准</w:t>
      </w:r>
    </w:p>
    <w:p w14:paraId="091BFEE4">
      <w:pPr>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5、竞争性磋商文件</w:t>
      </w:r>
    </w:p>
    <w:p w14:paraId="1E263A05">
      <w:pPr>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6、竞争性磋商响应文件</w:t>
      </w:r>
    </w:p>
    <w:p w14:paraId="1A01CB26">
      <w:pPr>
        <w:adjustRightInd w:val="0"/>
        <w:snapToGrid w:val="0"/>
        <w:spacing w:line="560" w:lineRule="exact"/>
        <w:ind w:firstLine="480" w:firstLineChars="200"/>
        <w:rPr>
          <w:rFonts w:hint="eastAsia" w:ascii="仿宋_GB2312" w:hAnsi="仿宋_GB2312" w:eastAsia="仿宋_GB2312" w:cs="仿宋_GB2312"/>
          <w:i w:val="0"/>
          <w:iCs w:val="0"/>
          <w:sz w:val="24"/>
          <w:highlight w:val="none"/>
        </w:rPr>
      </w:pPr>
      <w:r>
        <w:rPr>
          <w:rFonts w:hint="eastAsia" w:ascii="仿宋_GB2312" w:hAnsi="仿宋_GB2312" w:eastAsia="仿宋_GB2312" w:cs="仿宋_GB2312"/>
          <w:i w:val="0"/>
          <w:iCs w:val="0"/>
          <w:sz w:val="24"/>
          <w:highlight w:val="none"/>
        </w:rPr>
        <w:t>7、包括竞争性磋商文件第五章采购内容及要求</w:t>
      </w:r>
    </w:p>
    <w:bookmarkEnd w:id="3"/>
    <w:p w14:paraId="65CE0FD9">
      <w:pPr>
        <w:tabs>
          <w:tab w:val="left" w:pos="735"/>
        </w:tabs>
        <w:autoSpaceDE w:val="0"/>
        <w:autoSpaceDN w:val="0"/>
        <w:adjustRightInd w:val="0"/>
        <w:snapToGrid w:val="0"/>
        <w:spacing w:line="560" w:lineRule="exact"/>
        <w:ind w:firstLine="482" w:firstLineChars="200"/>
        <w:rPr>
          <w:rFonts w:hint="eastAsia" w:ascii="仿宋_GB2312" w:hAnsi="仿宋_GB2312" w:eastAsia="仿宋_GB2312" w:cs="仿宋_GB2312"/>
          <w:b/>
          <w:bCs/>
          <w:i w:val="0"/>
          <w:iCs w:val="0"/>
          <w:sz w:val="24"/>
          <w:highlight w:val="none"/>
          <w:lang w:val="zh-CN"/>
        </w:rPr>
      </w:pPr>
      <w:r>
        <w:rPr>
          <w:rFonts w:hint="eastAsia" w:ascii="仿宋_GB2312" w:hAnsi="仿宋_GB2312" w:eastAsia="仿宋_GB2312" w:cs="仿宋_GB2312"/>
          <w:b/>
          <w:bCs/>
          <w:i w:val="0"/>
          <w:iCs w:val="0"/>
          <w:sz w:val="24"/>
          <w:highlight w:val="none"/>
          <w:lang w:val="zh-CN"/>
        </w:rPr>
        <w:t>十三、合同生效及其它</w:t>
      </w:r>
    </w:p>
    <w:p w14:paraId="2F0A7E4C">
      <w:pPr>
        <w:widowControl/>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kern w:val="0"/>
          <w:sz w:val="24"/>
          <w:highlight w:val="none"/>
        </w:rPr>
      </w:pPr>
      <w:r>
        <w:rPr>
          <w:rFonts w:hint="eastAsia" w:ascii="仿宋_GB2312" w:hAnsi="仿宋_GB2312" w:eastAsia="仿宋_GB2312" w:cs="仿宋_GB2312"/>
          <w:i w:val="0"/>
          <w:iCs w:val="0"/>
          <w:kern w:val="0"/>
          <w:sz w:val="24"/>
          <w:highlight w:val="none"/>
        </w:rPr>
        <w:t>1、合同未尽事宜、由甲、乙双方协商，作为合同补充，与原合同具有同等法律效力。</w:t>
      </w:r>
    </w:p>
    <w:p w14:paraId="5EBF1F2C">
      <w:pPr>
        <w:widowControl/>
        <w:tabs>
          <w:tab w:val="left" w:pos="8391"/>
        </w:tabs>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kern w:val="0"/>
          <w:sz w:val="24"/>
          <w:highlight w:val="none"/>
        </w:rPr>
      </w:pPr>
      <w:r>
        <w:rPr>
          <w:rFonts w:hint="eastAsia" w:ascii="仿宋_GB2312" w:hAnsi="仿宋_GB2312" w:eastAsia="仿宋_GB2312" w:cs="仿宋_GB2312"/>
          <w:i w:val="0"/>
          <w:iCs w:val="0"/>
          <w:kern w:val="0"/>
          <w:sz w:val="24"/>
          <w:highlight w:val="none"/>
        </w:rPr>
        <w:t>2、本合同正本一式</w:t>
      </w:r>
      <w:r>
        <w:rPr>
          <w:rFonts w:hint="eastAsia" w:ascii="仿宋_GB2312" w:hAnsi="仿宋_GB2312" w:eastAsia="仿宋_GB2312" w:cs="仿宋_GB2312"/>
          <w:i w:val="0"/>
          <w:iCs w:val="0"/>
          <w:kern w:val="0"/>
          <w:sz w:val="24"/>
          <w:highlight w:val="none"/>
          <w:u w:val="single"/>
        </w:rPr>
        <w:t xml:space="preserve">     </w:t>
      </w:r>
      <w:r>
        <w:rPr>
          <w:rFonts w:hint="eastAsia" w:ascii="仿宋_GB2312" w:hAnsi="仿宋_GB2312" w:eastAsia="仿宋_GB2312" w:cs="仿宋_GB2312"/>
          <w:i w:val="0"/>
          <w:iCs w:val="0"/>
          <w:kern w:val="0"/>
          <w:sz w:val="24"/>
          <w:highlight w:val="none"/>
        </w:rPr>
        <w:t>份，甲方、乙方双方分别执</w:t>
      </w:r>
      <w:r>
        <w:rPr>
          <w:rFonts w:hint="eastAsia" w:ascii="仿宋_GB2312" w:hAnsi="仿宋_GB2312" w:eastAsia="仿宋_GB2312" w:cs="仿宋_GB2312"/>
          <w:i w:val="0"/>
          <w:iCs w:val="0"/>
          <w:kern w:val="0"/>
          <w:sz w:val="24"/>
          <w:highlight w:val="none"/>
          <w:u w:val="single"/>
        </w:rPr>
        <w:t xml:space="preserve">    </w:t>
      </w:r>
      <w:r>
        <w:rPr>
          <w:rFonts w:hint="eastAsia" w:ascii="仿宋_GB2312" w:hAnsi="仿宋_GB2312" w:eastAsia="仿宋_GB2312" w:cs="仿宋_GB2312"/>
          <w:i w:val="0"/>
          <w:iCs w:val="0"/>
          <w:kern w:val="0"/>
          <w:sz w:val="24"/>
          <w:highlight w:val="none"/>
        </w:rPr>
        <w:t>份，</w:t>
      </w:r>
      <w:r>
        <w:rPr>
          <w:rFonts w:hint="eastAsia" w:ascii="仿宋_GB2312" w:hAnsi="仿宋_GB2312" w:eastAsia="仿宋_GB2312" w:cs="仿宋_GB2312"/>
          <w:i w:val="0"/>
          <w:iCs w:val="0"/>
          <w:kern w:val="0"/>
          <w:sz w:val="24"/>
          <w:highlight w:val="none"/>
          <w:u w:val="single"/>
        </w:rPr>
        <w:t xml:space="preserve">  </w:t>
      </w:r>
      <w:r>
        <w:rPr>
          <w:rFonts w:hint="eastAsia" w:ascii="仿宋_GB2312" w:hAnsi="仿宋_GB2312" w:eastAsia="仿宋_GB2312" w:cs="仿宋_GB2312"/>
          <w:i w:val="0"/>
          <w:iCs w:val="0"/>
          <w:kern w:val="0"/>
          <w:sz w:val="24"/>
          <w:highlight w:val="none"/>
          <w:u w:val="single"/>
          <w:lang w:val="en-US" w:eastAsia="zh-CN"/>
        </w:rPr>
        <w:t xml:space="preserve">  </w:t>
      </w:r>
      <w:r>
        <w:rPr>
          <w:rFonts w:hint="eastAsia" w:ascii="仿宋_GB2312" w:hAnsi="仿宋_GB2312" w:eastAsia="仿宋_GB2312" w:cs="仿宋_GB2312"/>
          <w:i w:val="0"/>
          <w:iCs w:val="0"/>
          <w:kern w:val="0"/>
          <w:sz w:val="24"/>
          <w:highlight w:val="none"/>
          <w:u w:val="single"/>
        </w:rPr>
        <w:t xml:space="preserve"> </w:t>
      </w:r>
      <w:r>
        <w:rPr>
          <w:rFonts w:hint="eastAsia" w:ascii="仿宋_GB2312" w:hAnsi="仿宋_GB2312" w:eastAsia="仿宋_GB2312" w:cs="仿宋_GB2312"/>
          <w:i w:val="0"/>
          <w:iCs w:val="0"/>
          <w:kern w:val="0"/>
          <w:sz w:val="24"/>
          <w:highlight w:val="none"/>
        </w:rPr>
        <w:t>备案</w:t>
      </w:r>
      <w:r>
        <w:rPr>
          <w:rFonts w:hint="eastAsia" w:ascii="仿宋_GB2312" w:hAnsi="仿宋_GB2312" w:eastAsia="仿宋_GB2312" w:cs="仿宋_GB2312"/>
          <w:i w:val="0"/>
          <w:iCs w:val="0"/>
          <w:kern w:val="0"/>
          <w:sz w:val="24"/>
          <w:highlight w:val="none"/>
          <w:u w:val="single"/>
        </w:rPr>
        <w:t xml:space="preserve">  </w:t>
      </w:r>
      <w:r>
        <w:rPr>
          <w:rFonts w:hint="eastAsia" w:ascii="仿宋_GB2312" w:hAnsi="仿宋_GB2312" w:eastAsia="仿宋_GB2312" w:cs="仿宋_GB2312"/>
          <w:i w:val="0"/>
          <w:iCs w:val="0"/>
          <w:kern w:val="0"/>
          <w:sz w:val="24"/>
          <w:highlight w:val="none"/>
        </w:rPr>
        <w:t>份。</w:t>
      </w:r>
    </w:p>
    <w:p w14:paraId="7C3DDE1A">
      <w:pPr>
        <w:widowControl/>
        <w:tabs>
          <w:tab w:val="left" w:pos="8391"/>
        </w:tabs>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kern w:val="0"/>
          <w:sz w:val="24"/>
          <w:highlight w:val="none"/>
        </w:rPr>
      </w:pPr>
      <w:r>
        <w:rPr>
          <w:rFonts w:hint="eastAsia" w:ascii="仿宋_GB2312" w:hAnsi="仿宋_GB2312" w:eastAsia="仿宋_GB2312" w:cs="仿宋_GB2312"/>
          <w:i w:val="0"/>
          <w:iCs w:val="0"/>
          <w:kern w:val="0"/>
          <w:sz w:val="24"/>
          <w:highlight w:val="none"/>
        </w:rPr>
        <w:t>3、合同经甲乙双方盖章、签字后生效，合同签订地点为</w:t>
      </w:r>
      <w:r>
        <w:rPr>
          <w:rFonts w:hint="eastAsia" w:ascii="仿宋_GB2312" w:hAnsi="仿宋_GB2312" w:eastAsia="仿宋_GB2312" w:cs="仿宋_GB2312"/>
          <w:i w:val="0"/>
          <w:iCs w:val="0"/>
          <w:kern w:val="0"/>
          <w:sz w:val="24"/>
          <w:highlight w:val="none"/>
          <w:u w:val="single"/>
        </w:rPr>
        <w:t xml:space="preserve">   </w:t>
      </w:r>
      <w:r>
        <w:rPr>
          <w:rFonts w:hint="eastAsia" w:ascii="仿宋_GB2312" w:hAnsi="仿宋_GB2312" w:eastAsia="仿宋_GB2312" w:cs="仿宋_GB2312"/>
          <w:i w:val="0"/>
          <w:iCs w:val="0"/>
          <w:kern w:val="0"/>
          <w:sz w:val="24"/>
          <w:highlight w:val="none"/>
        </w:rPr>
        <w:t>。</w:t>
      </w:r>
    </w:p>
    <w:p w14:paraId="2FE544D6">
      <w:pPr>
        <w:widowControl/>
        <w:tabs>
          <w:tab w:val="left" w:pos="8391"/>
        </w:tabs>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kern w:val="0"/>
          <w:sz w:val="24"/>
          <w:highlight w:val="none"/>
        </w:rPr>
      </w:pPr>
      <w:r>
        <w:rPr>
          <w:rFonts w:hint="eastAsia" w:ascii="仿宋_GB2312" w:hAnsi="仿宋_GB2312" w:eastAsia="仿宋_GB2312" w:cs="仿宋_GB2312"/>
          <w:i w:val="0"/>
          <w:iCs w:val="0"/>
          <w:kern w:val="0"/>
          <w:sz w:val="24"/>
          <w:highlight w:val="none"/>
        </w:rPr>
        <w:t>4、生效时间：</w:t>
      </w:r>
      <w:r>
        <w:rPr>
          <w:rFonts w:hint="eastAsia" w:ascii="仿宋_GB2312" w:hAnsi="仿宋_GB2312" w:eastAsia="仿宋_GB2312" w:cs="仿宋_GB2312"/>
          <w:i w:val="0"/>
          <w:iCs w:val="0"/>
          <w:kern w:val="0"/>
          <w:sz w:val="24"/>
          <w:highlight w:val="none"/>
          <w:u w:val="single"/>
        </w:rPr>
        <w:t xml:space="preserve">   </w:t>
      </w:r>
      <w:r>
        <w:rPr>
          <w:rFonts w:hint="eastAsia" w:ascii="仿宋_GB2312" w:hAnsi="仿宋_GB2312" w:eastAsia="仿宋_GB2312" w:cs="仿宋_GB2312"/>
          <w:i w:val="0"/>
          <w:iCs w:val="0"/>
          <w:kern w:val="0"/>
          <w:sz w:val="24"/>
          <w:highlight w:val="none"/>
        </w:rPr>
        <w:t>年</w:t>
      </w:r>
      <w:r>
        <w:rPr>
          <w:rFonts w:hint="eastAsia" w:ascii="仿宋_GB2312" w:hAnsi="仿宋_GB2312" w:eastAsia="仿宋_GB2312" w:cs="仿宋_GB2312"/>
          <w:i w:val="0"/>
          <w:iCs w:val="0"/>
          <w:kern w:val="0"/>
          <w:sz w:val="24"/>
          <w:highlight w:val="none"/>
          <w:u w:val="single"/>
        </w:rPr>
        <w:t xml:space="preserve">   </w:t>
      </w:r>
      <w:r>
        <w:rPr>
          <w:rFonts w:hint="eastAsia" w:ascii="仿宋_GB2312" w:hAnsi="仿宋_GB2312" w:eastAsia="仿宋_GB2312" w:cs="仿宋_GB2312"/>
          <w:i w:val="0"/>
          <w:iCs w:val="0"/>
          <w:kern w:val="0"/>
          <w:sz w:val="24"/>
          <w:highlight w:val="none"/>
        </w:rPr>
        <w:t>月</w:t>
      </w:r>
      <w:r>
        <w:rPr>
          <w:rFonts w:hint="eastAsia" w:ascii="仿宋_GB2312" w:hAnsi="仿宋_GB2312" w:eastAsia="仿宋_GB2312" w:cs="仿宋_GB2312"/>
          <w:i w:val="0"/>
          <w:iCs w:val="0"/>
          <w:kern w:val="0"/>
          <w:sz w:val="24"/>
          <w:highlight w:val="none"/>
          <w:u w:val="single"/>
        </w:rPr>
        <w:t xml:space="preserve">   </w:t>
      </w:r>
      <w:r>
        <w:rPr>
          <w:rFonts w:hint="eastAsia" w:ascii="仿宋_GB2312" w:hAnsi="仿宋_GB2312" w:eastAsia="仿宋_GB2312" w:cs="仿宋_GB2312"/>
          <w:i w:val="0"/>
          <w:iCs w:val="0"/>
          <w:kern w:val="0"/>
          <w:sz w:val="24"/>
          <w:highlight w:val="none"/>
        </w:rPr>
        <w:t>日</w:t>
      </w:r>
    </w:p>
    <w:tbl>
      <w:tblPr>
        <w:tblStyle w:val="5"/>
        <w:tblW w:w="9286" w:type="dxa"/>
        <w:jc w:val="center"/>
        <w:tblLayout w:type="fixed"/>
        <w:tblCellMar>
          <w:top w:w="0" w:type="dxa"/>
          <w:left w:w="108" w:type="dxa"/>
          <w:bottom w:w="0" w:type="dxa"/>
          <w:right w:w="108" w:type="dxa"/>
        </w:tblCellMar>
      </w:tblPr>
      <w:tblGrid>
        <w:gridCol w:w="4643"/>
        <w:gridCol w:w="4643"/>
      </w:tblGrid>
      <w:tr w14:paraId="5631D63E">
        <w:tblPrEx>
          <w:tblCellMar>
            <w:top w:w="0" w:type="dxa"/>
            <w:left w:w="108" w:type="dxa"/>
            <w:bottom w:w="0" w:type="dxa"/>
            <w:right w:w="108" w:type="dxa"/>
          </w:tblCellMar>
        </w:tblPrEx>
        <w:trPr>
          <w:jc w:val="center"/>
        </w:trPr>
        <w:tc>
          <w:tcPr>
            <w:tcW w:w="4643" w:type="dxa"/>
          </w:tcPr>
          <w:p w14:paraId="61D04CA5">
            <w:pPr>
              <w:widowControl/>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kern w:val="0"/>
                <w:sz w:val="24"/>
                <w:highlight w:val="none"/>
              </w:rPr>
            </w:pPr>
            <w:r>
              <w:rPr>
                <w:rFonts w:hint="eastAsia" w:ascii="仿宋_GB2312" w:hAnsi="仿宋_GB2312" w:eastAsia="仿宋_GB2312" w:cs="仿宋_GB2312"/>
                <w:i w:val="0"/>
                <w:iCs w:val="0"/>
                <w:kern w:val="0"/>
                <w:sz w:val="24"/>
                <w:highlight w:val="none"/>
              </w:rPr>
              <w:t>甲方名称</w:t>
            </w:r>
            <w:r>
              <w:rPr>
                <w:rFonts w:hint="eastAsia" w:ascii="仿宋_GB2312" w:hAnsi="仿宋_GB2312" w:eastAsia="仿宋_GB2312" w:cs="仿宋_GB2312"/>
                <w:i w:val="0"/>
                <w:iCs w:val="0"/>
                <w:spacing w:val="-20"/>
                <w:kern w:val="0"/>
                <w:sz w:val="24"/>
                <w:highlight w:val="none"/>
              </w:rPr>
              <w:t>（盖章）</w:t>
            </w:r>
            <w:r>
              <w:rPr>
                <w:rFonts w:hint="eastAsia" w:ascii="仿宋_GB2312" w:hAnsi="仿宋_GB2312" w:eastAsia="仿宋_GB2312" w:cs="仿宋_GB2312"/>
                <w:i w:val="0"/>
                <w:iCs w:val="0"/>
                <w:kern w:val="0"/>
                <w:sz w:val="24"/>
                <w:highlight w:val="none"/>
              </w:rPr>
              <w:t>:</w:t>
            </w:r>
          </w:p>
          <w:p w14:paraId="4FD3EB26">
            <w:pPr>
              <w:widowControl/>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kern w:val="0"/>
                <w:sz w:val="24"/>
                <w:highlight w:val="none"/>
              </w:rPr>
            </w:pPr>
            <w:r>
              <w:rPr>
                <w:rFonts w:hint="eastAsia" w:ascii="仿宋_GB2312" w:hAnsi="仿宋_GB2312" w:eastAsia="仿宋_GB2312" w:cs="仿宋_GB2312"/>
                <w:i w:val="0"/>
                <w:iCs w:val="0"/>
                <w:kern w:val="0"/>
                <w:sz w:val="24"/>
                <w:highlight w:val="none"/>
              </w:rPr>
              <w:t>地址：</w:t>
            </w:r>
          </w:p>
          <w:p w14:paraId="6083A695">
            <w:pPr>
              <w:widowControl/>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kern w:val="0"/>
                <w:sz w:val="24"/>
                <w:highlight w:val="none"/>
              </w:rPr>
            </w:pPr>
            <w:r>
              <w:rPr>
                <w:rFonts w:hint="eastAsia" w:ascii="仿宋_GB2312" w:hAnsi="仿宋_GB2312" w:eastAsia="仿宋_GB2312" w:cs="仿宋_GB2312"/>
                <w:i w:val="0"/>
                <w:iCs w:val="0"/>
                <w:kern w:val="0"/>
                <w:sz w:val="24"/>
                <w:highlight w:val="none"/>
              </w:rPr>
              <w:t>代表人（签字）：</w:t>
            </w:r>
          </w:p>
          <w:p w14:paraId="323BA782">
            <w:pPr>
              <w:widowControl/>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kern w:val="0"/>
                <w:sz w:val="24"/>
                <w:highlight w:val="none"/>
              </w:rPr>
            </w:pPr>
            <w:r>
              <w:rPr>
                <w:rFonts w:hint="eastAsia" w:ascii="仿宋_GB2312" w:hAnsi="仿宋_GB2312" w:eastAsia="仿宋_GB2312" w:cs="仿宋_GB2312"/>
                <w:i w:val="0"/>
                <w:iCs w:val="0"/>
                <w:kern w:val="0"/>
                <w:sz w:val="24"/>
                <w:highlight w:val="none"/>
              </w:rPr>
              <w:t>电话：</w:t>
            </w:r>
          </w:p>
          <w:p w14:paraId="06064111">
            <w:pPr>
              <w:widowControl/>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kern w:val="0"/>
                <w:sz w:val="24"/>
                <w:highlight w:val="none"/>
              </w:rPr>
            </w:pPr>
            <w:r>
              <w:rPr>
                <w:rFonts w:hint="eastAsia" w:ascii="仿宋_GB2312" w:hAnsi="仿宋_GB2312" w:eastAsia="仿宋_GB2312" w:cs="仿宋_GB2312"/>
                <w:i w:val="0"/>
                <w:iCs w:val="0"/>
                <w:kern w:val="0"/>
                <w:sz w:val="24"/>
                <w:highlight w:val="none"/>
              </w:rPr>
              <w:t>开户银行：</w:t>
            </w:r>
          </w:p>
          <w:p w14:paraId="2EC44316">
            <w:pPr>
              <w:widowControl/>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highlight w:val="none"/>
              </w:rPr>
            </w:pPr>
            <w:r>
              <w:rPr>
                <w:rFonts w:hint="eastAsia" w:ascii="仿宋_GB2312" w:hAnsi="仿宋_GB2312" w:eastAsia="仿宋_GB2312" w:cs="仿宋_GB2312"/>
                <w:i w:val="0"/>
                <w:iCs w:val="0"/>
                <w:kern w:val="0"/>
                <w:sz w:val="24"/>
                <w:highlight w:val="none"/>
              </w:rPr>
              <w:t>帐号：</w:t>
            </w:r>
          </w:p>
        </w:tc>
        <w:tc>
          <w:tcPr>
            <w:tcW w:w="4643" w:type="dxa"/>
          </w:tcPr>
          <w:p w14:paraId="148111D9">
            <w:pPr>
              <w:widowControl/>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kern w:val="0"/>
                <w:sz w:val="24"/>
                <w:highlight w:val="none"/>
              </w:rPr>
            </w:pPr>
            <w:r>
              <w:rPr>
                <w:rFonts w:hint="eastAsia" w:ascii="仿宋_GB2312" w:hAnsi="仿宋_GB2312" w:eastAsia="仿宋_GB2312" w:cs="仿宋_GB2312"/>
                <w:i w:val="0"/>
                <w:iCs w:val="0"/>
                <w:kern w:val="0"/>
                <w:sz w:val="24"/>
                <w:highlight w:val="none"/>
              </w:rPr>
              <w:t>乙方名称</w:t>
            </w:r>
            <w:r>
              <w:rPr>
                <w:rFonts w:hint="eastAsia" w:ascii="仿宋_GB2312" w:hAnsi="仿宋_GB2312" w:eastAsia="仿宋_GB2312" w:cs="仿宋_GB2312"/>
                <w:i w:val="0"/>
                <w:iCs w:val="0"/>
                <w:spacing w:val="-20"/>
                <w:kern w:val="0"/>
                <w:sz w:val="24"/>
                <w:highlight w:val="none"/>
              </w:rPr>
              <w:t>（盖章）</w:t>
            </w:r>
            <w:r>
              <w:rPr>
                <w:rFonts w:hint="eastAsia" w:ascii="仿宋_GB2312" w:hAnsi="仿宋_GB2312" w:eastAsia="仿宋_GB2312" w:cs="仿宋_GB2312"/>
                <w:i w:val="0"/>
                <w:iCs w:val="0"/>
                <w:kern w:val="0"/>
                <w:sz w:val="24"/>
                <w:highlight w:val="none"/>
              </w:rPr>
              <w:t>:</w:t>
            </w:r>
          </w:p>
          <w:p w14:paraId="661AE095">
            <w:pPr>
              <w:widowControl/>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kern w:val="0"/>
                <w:sz w:val="24"/>
                <w:highlight w:val="none"/>
              </w:rPr>
            </w:pPr>
            <w:r>
              <w:rPr>
                <w:rFonts w:hint="eastAsia" w:ascii="仿宋_GB2312" w:hAnsi="仿宋_GB2312" w:eastAsia="仿宋_GB2312" w:cs="仿宋_GB2312"/>
                <w:i w:val="0"/>
                <w:iCs w:val="0"/>
                <w:kern w:val="0"/>
                <w:sz w:val="24"/>
                <w:highlight w:val="none"/>
              </w:rPr>
              <w:t>地址：</w:t>
            </w:r>
          </w:p>
          <w:p w14:paraId="4E231554">
            <w:pPr>
              <w:widowControl/>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kern w:val="0"/>
                <w:sz w:val="24"/>
                <w:highlight w:val="none"/>
              </w:rPr>
            </w:pPr>
            <w:r>
              <w:rPr>
                <w:rFonts w:hint="eastAsia" w:ascii="仿宋_GB2312" w:hAnsi="仿宋_GB2312" w:eastAsia="仿宋_GB2312" w:cs="仿宋_GB2312"/>
                <w:i w:val="0"/>
                <w:iCs w:val="0"/>
                <w:kern w:val="0"/>
                <w:sz w:val="24"/>
                <w:highlight w:val="none"/>
              </w:rPr>
              <w:t>代表人（签字）：</w:t>
            </w:r>
          </w:p>
          <w:p w14:paraId="6EDABF47">
            <w:pPr>
              <w:widowControl/>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kern w:val="0"/>
                <w:sz w:val="24"/>
                <w:highlight w:val="none"/>
              </w:rPr>
            </w:pPr>
            <w:r>
              <w:rPr>
                <w:rFonts w:hint="eastAsia" w:ascii="仿宋_GB2312" w:hAnsi="仿宋_GB2312" w:eastAsia="仿宋_GB2312" w:cs="仿宋_GB2312"/>
                <w:i w:val="0"/>
                <w:iCs w:val="0"/>
                <w:kern w:val="0"/>
                <w:sz w:val="24"/>
                <w:highlight w:val="none"/>
              </w:rPr>
              <w:t>电话：</w:t>
            </w:r>
          </w:p>
          <w:p w14:paraId="4F501E28">
            <w:pPr>
              <w:widowControl/>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kern w:val="0"/>
                <w:sz w:val="24"/>
                <w:highlight w:val="none"/>
              </w:rPr>
            </w:pPr>
            <w:r>
              <w:rPr>
                <w:rFonts w:hint="eastAsia" w:ascii="仿宋_GB2312" w:hAnsi="仿宋_GB2312" w:eastAsia="仿宋_GB2312" w:cs="仿宋_GB2312"/>
                <w:i w:val="0"/>
                <w:iCs w:val="0"/>
                <w:kern w:val="0"/>
                <w:sz w:val="24"/>
                <w:highlight w:val="none"/>
              </w:rPr>
              <w:t>开户银行：</w:t>
            </w:r>
          </w:p>
          <w:p w14:paraId="39562DE1">
            <w:pPr>
              <w:widowControl/>
              <w:autoSpaceDE w:val="0"/>
              <w:autoSpaceDN w:val="0"/>
              <w:snapToGrid w:val="0"/>
              <w:spacing w:line="560" w:lineRule="exact"/>
              <w:ind w:firstLine="480" w:firstLineChars="200"/>
              <w:textAlignment w:val="bottom"/>
              <w:rPr>
                <w:rFonts w:hint="eastAsia" w:ascii="仿宋_GB2312" w:hAnsi="仿宋_GB2312" w:eastAsia="仿宋_GB2312" w:cs="仿宋_GB2312"/>
                <w:i w:val="0"/>
                <w:iCs w:val="0"/>
                <w:highlight w:val="none"/>
              </w:rPr>
            </w:pPr>
            <w:r>
              <w:rPr>
                <w:rFonts w:hint="eastAsia" w:ascii="仿宋_GB2312" w:hAnsi="仿宋_GB2312" w:eastAsia="仿宋_GB2312" w:cs="仿宋_GB2312"/>
                <w:i w:val="0"/>
                <w:iCs w:val="0"/>
                <w:kern w:val="0"/>
                <w:sz w:val="24"/>
                <w:highlight w:val="none"/>
              </w:rPr>
              <w:t>帐号：</w:t>
            </w:r>
          </w:p>
        </w:tc>
      </w:tr>
    </w:tbl>
    <w:p w14:paraId="02282B74">
      <w:pPr>
        <w:pStyle w:val="7"/>
        <w:rPr>
          <w:rFonts w:hint="eastAsia" w:ascii="仿宋_GB2312" w:hAnsi="仿宋_GB2312" w:eastAsia="仿宋_GB2312" w:cs="仿宋_GB2312"/>
          <w:highlight w:val="none"/>
          <w:lang w:val="en-US" w:eastAsia="zh-Hans"/>
        </w:rPr>
      </w:pPr>
    </w:p>
    <w:p w14:paraId="52A937AD"/>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7B74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007DFE">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0007DFE">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1520C3"/>
    <w:rsid w:val="160E5F9D"/>
    <w:rsid w:val="52152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黑体" w:hAnsi="黑体" w:eastAsia="黑体" w:cs="黑体"/>
      <w:sz w:val="16"/>
      <w:szCs w:val="16"/>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1230</Words>
  <Characters>1235</Characters>
  <Lines>0</Lines>
  <Paragraphs>0</Paragraphs>
  <TotalTime>0</TotalTime>
  <ScaleCrop>false</ScaleCrop>
  <LinksUpToDate>false</LinksUpToDate>
  <CharactersWithSpaces>1309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2025-10-27T08:24:00Z</dcterms:created>
  <dc:creator>j@x</dc:creator>
  <cp:lastModifiedBy>緣來</cp:lastModifiedBy>
  <dcterms:modified xsi:type="dcterms:W3CDTF">2025-12-04T07:19:03Z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C4D93B529E544CB4888F593ED2848BAB_11</vt:lpwstr>
  </property>
  <property fmtid="{D5CDD505-2E9C-101B-9397-08002B2CF9AE}" pid="4" name="KSOTemplateDocerSaveRecord">
    <vt:lpwstr>eyJoZGlkIjoiYmM1NjE2NWIwYmZhOGI5ZjJiOGIwMzRkYWQ5MzY1MDciLCJ1c2VySWQiOiI0MDY2NDY1NjQifQ==</vt:lpwstr>
  </property>
</Properties>
</file>