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版本号：ZCSP-渭南市-2025-0086620251205001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《渭南市生态环境保护规划（2025-2035年）》编制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ZCSP-渭南市-2025-00866</w:t>
      </w:r>
      <w:r>
        <w:br/>
      </w:r>
      <w:r>
        <w:br/>
      </w:r>
      <w:r>
        <w:br/>
      </w:r>
    </w:p>
    <w:p>
      <w:pPr>
        <w:pStyle w:val="null3"/>
        <w:jc w:val="center"/>
        <w:outlineLvl w:val="2"/>
      </w:pPr>
      <w:r>
        <w:rPr>
          <w:rFonts w:ascii="仿宋_GB2312" w:hAnsi="仿宋_GB2312" w:cs="仿宋_GB2312" w:eastAsia="仿宋_GB2312"/>
          <w:sz w:val="28"/>
          <w:b/>
        </w:rPr>
        <w:t>渭南市环境科学研究中心</w:t>
      </w:r>
    </w:p>
    <w:p>
      <w:pPr>
        <w:pStyle w:val="null3"/>
        <w:jc w:val="center"/>
        <w:outlineLvl w:val="2"/>
      </w:pPr>
      <w:r>
        <w:rPr>
          <w:rFonts w:ascii="仿宋_GB2312" w:hAnsi="仿宋_GB2312" w:cs="仿宋_GB2312" w:eastAsia="仿宋_GB2312"/>
          <w:sz w:val="28"/>
          <w:b/>
        </w:rPr>
        <w:t>新瑞建设有限公司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新瑞建设有限公司</w:t>
      </w:r>
      <w:r>
        <w:rPr>
          <w:rFonts w:ascii="仿宋_GB2312" w:hAnsi="仿宋_GB2312" w:cs="仿宋_GB2312" w:eastAsia="仿宋_GB2312"/>
        </w:rPr>
        <w:t>（以下简称“代理机构”）受</w:t>
      </w:r>
      <w:r>
        <w:rPr>
          <w:rFonts w:ascii="仿宋_GB2312" w:hAnsi="仿宋_GB2312" w:cs="仿宋_GB2312" w:eastAsia="仿宋_GB2312"/>
        </w:rPr>
        <w:t>渭南市环境科学研究中心</w:t>
      </w:r>
      <w:r>
        <w:rPr>
          <w:rFonts w:ascii="仿宋_GB2312" w:hAnsi="仿宋_GB2312" w:cs="仿宋_GB2312" w:eastAsia="仿宋_GB2312"/>
        </w:rPr>
        <w:t>委托，拟对</w:t>
      </w:r>
      <w:r>
        <w:rPr>
          <w:rFonts w:ascii="仿宋_GB2312" w:hAnsi="仿宋_GB2312" w:cs="仿宋_GB2312" w:eastAsia="仿宋_GB2312"/>
        </w:rPr>
        <w:t>《渭南市生态环境保护规划（2025-2035年）》编制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《渭南市生态环境保护规划（2025-2035年）》编制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渭南市国土空间规划委员会办公室关于加快推进国土空间专项规划编制工作的通知》(渭规委办发[2025]2号)要求，基于资料收集及现场调研等资料信息的梳理分析，掌握渭南市生态环境保护规划基础，科学确定约束性指标和预期性指标的目标，在统筹考虑渭南市国土空间规划“三区三线”布局基础上，提出渭南市生态环境保护的战略布局思路，设置环境准入负面清单，实施不同区域的分类指导、分类管理，合理确定主要任务，提出重点区域管制目标和措施，最终形成《渭南市生态环境保护规划（2025-2035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1、磋商保证金：磋商保证金交纳凭证</w:t>
      </w:r>
    </w:p>
    <w:p>
      <w:pPr>
        <w:pStyle w:val="null3"/>
      </w:pPr>
      <w:r>
        <w:rPr>
          <w:rFonts w:ascii="仿宋_GB2312" w:hAnsi="仿宋_GB2312" w:cs="仿宋_GB2312" w:eastAsia="仿宋_GB2312"/>
        </w:rPr>
        <w:t>2、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3、法定代表人身份证明书或授权委托书：法定代表人参与磋商时需提供法定代表人身份证明书；被授权人参与磋商时需提供法定代表人身份证明书及法定代表人授权委托书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4、项目负责人：拟派项目负责人具备相关专业高级职称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渭南市环境科学研究中心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渭南市朝阳大街中段市环保局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0913-2072972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新瑞建设有限公司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陕西省渭南市临渭区陕西省渭南市临渭区解放路北段渭河大街东段南侧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刘世龙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0913-2136088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开户名称：新瑞建设有限公司</w:t>
            </w:r>
          </w:p>
          <w:p>
            <w:pPr>
              <w:pStyle w:val="null3"/>
            </w:pPr>
            <w:r>
              <w:rPr>
                <w:rFonts w:ascii="仿宋_GB2312" w:hAnsi="仿宋_GB2312" w:cs="仿宋_GB2312" w:eastAsia="仿宋_GB2312"/>
              </w:rPr>
              <w:t>开户银行：中国工商银行渭南乐天花园支行（行号：102797050086）</w:t>
            </w:r>
          </w:p>
          <w:p>
            <w:pPr>
              <w:pStyle w:val="null3"/>
            </w:pPr>
            <w:r>
              <w:rPr>
                <w:rFonts w:ascii="仿宋_GB2312" w:hAnsi="仿宋_GB2312" w:cs="仿宋_GB2312" w:eastAsia="仿宋_GB2312"/>
              </w:rPr>
              <w:t>银行账号：2605041319200030511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渭南市环境科学研究中心</w:t>
      </w:r>
      <w:r>
        <w:rPr>
          <w:rFonts w:ascii="仿宋_GB2312" w:hAnsi="仿宋_GB2312" w:cs="仿宋_GB2312" w:eastAsia="仿宋_GB2312"/>
        </w:rPr>
        <w:t>和</w:t>
      </w:r>
      <w:r>
        <w:rPr>
          <w:rFonts w:ascii="仿宋_GB2312" w:hAnsi="仿宋_GB2312" w:cs="仿宋_GB2312" w:eastAsia="仿宋_GB2312"/>
        </w:rPr>
        <w:t>新瑞建设有限公司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渭南市环境科学研究中心</w:t>
      </w:r>
      <w:r>
        <w:rPr>
          <w:rFonts w:ascii="仿宋_GB2312" w:hAnsi="仿宋_GB2312" w:cs="仿宋_GB2312" w:eastAsia="仿宋_GB2312"/>
        </w:rPr>
        <w:t>负责解释。除上述磋商文件内容，其他内容由</w:t>
      </w:r>
      <w:r>
        <w:rPr>
          <w:rFonts w:ascii="仿宋_GB2312" w:hAnsi="仿宋_GB2312" w:cs="仿宋_GB2312" w:eastAsia="仿宋_GB2312"/>
        </w:rPr>
        <w:t>新瑞建设有限公司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渭南市环境科学研究中心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新瑞建设有限公司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按服务内容、服务要求、响应文件及澄清函、项目检查情况等综合指标进行验收。各项指标均应符合验收标准及要求。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新瑞建设有限公司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新瑞建设有限公司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联系人：刘世龙</w:t>
      </w:r>
    </w:p>
    <w:p>
      <w:pPr>
        <w:pStyle w:val="null3"/>
      </w:pPr>
      <w:r>
        <w:rPr>
          <w:rFonts w:ascii="仿宋_GB2312" w:hAnsi="仿宋_GB2312" w:cs="仿宋_GB2312" w:eastAsia="仿宋_GB2312"/>
        </w:rPr>
        <w:t>联系电话：0913-2136088</w:t>
      </w:r>
    </w:p>
    <w:p>
      <w:pPr>
        <w:pStyle w:val="null3"/>
      </w:pPr>
      <w:r>
        <w:rPr>
          <w:rFonts w:ascii="仿宋_GB2312" w:hAnsi="仿宋_GB2312" w:cs="仿宋_GB2312" w:eastAsia="仿宋_GB2312"/>
        </w:rPr>
        <w:t>地址：陕西省渭南市临渭区解放路北段渭河大街东段南侧</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渭南市国土空间规划委员会办公室关于加快推进国土空间专项规划编制工作的通知》(渭规委办发[2025]2号)要求，基于资料收集及现场调研等资料信息的梳理分析，掌握渭南市生态环境保护规划基础，科学确定约束性指标和预期性指标的目标，在统筹考虑渭南市国土空间规划“三区三线”布局基础上，提出渭南市生态环境保护的战略布局思路，设置环境准入负面清单，实施不同区域的分类指导、分类管理，合理确定主要任务，提出重点区域管制目标和措施，最终形成《渭南市生态环境保护规划（2025-2035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980,000.00</w:t>
      </w:r>
    </w:p>
    <w:p>
      <w:pPr>
        <w:pStyle w:val="null3"/>
      </w:pPr>
      <w:r>
        <w:rPr>
          <w:rFonts w:ascii="仿宋_GB2312" w:hAnsi="仿宋_GB2312" w:cs="仿宋_GB2312" w:eastAsia="仿宋_GB2312"/>
        </w:rPr>
        <w:t>采购包最高限价（元）: 980,000.00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《渭南市生态环境保护规划（2025-2035年）》编制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标的名称：《渭南市生态环境保护规划（2025-2035年）》编制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left"/>
            </w:pPr>
            <w:r>
              <w:rPr>
                <w:rFonts w:ascii="仿宋_GB2312" w:hAnsi="仿宋_GB2312" w:cs="仿宋_GB2312" w:eastAsia="仿宋_GB2312"/>
              </w:rPr>
              <w:t>（一）服务项目概况</w:t>
            </w:r>
          </w:p>
          <w:p>
            <w:pPr>
              <w:pStyle w:val="null3"/>
            </w:pPr>
            <w:r>
              <w:rPr>
                <w:rFonts w:ascii="仿宋_GB2312" w:hAnsi="仿宋_GB2312" w:cs="仿宋_GB2312" w:eastAsia="仿宋_GB2312"/>
              </w:rPr>
              <w:t>本项目基于资料收集及现场调研等资料信息的梳理分析，掌握渭南市生态环境保护规划基础，科学确定约束性指标和预期性指标的目标，在统筹考虑渭南市国土空间规划“三区三线”布局基础上，提出渭南市生态环境保护的战略布局思路，设置环境准入负面清单，实施不同区域的分类指导、分类管理，合理确定主要任务，提出重点区域管制目标和措施，最终形成《渭南市生态环境保护规划（2025-2035年）》。</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 xml:space="preserve">    本项目将围绕环境现状、生态保护修复、产业发展与转型环境风险防控以及现代环境治理体系建设五项核心任务开展工作。</w:t>
            </w:r>
          </w:p>
          <w:p>
            <w:pPr>
              <w:pStyle w:val="null3"/>
            </w:pPr>
            <w:r>
              <w:rPr>
                <w:rFonts w:ascii="仿宋_GB2312" w:hAnsi="仿宋_GB2312" w:cs="仿宋_GB2312" w:eastAsia="仿宋_GB2312"/>
              </w:rPr>
              <w:t>（三）服务质量</w:t>
            </w:r>
          </w:p>
          <w:p>
            <w:pPr>
              <w:pStyle w:val="null3"/>
            </w:pPr>
            <w:r>
              <w:rPr>
                <w:rFonts w:ascii="仿宋_GB2312" w:hAnsi="仿宋_GB2312" w:cs="仿宋_GB2312" w:eastAsia="仿宋_GB2312"/>
              </w:rPr>
              <w:t>1.符合国家相关行业规范、规程和有关技术规定；</w:t>
            </w:r>
          </w:p>
          <w:p>
            <w:pPr>
              <w:pStyle w:val="null3"/>
            </w:pPr>
            <w:r>
              <w:rPr>
                <w:rFonts w:ascii="仿宋_GB2312" w:hAnsi="仿宋_GB2312" w:cs="仿宋_GB2312" w:eastAsia="仿宋_GB2312"/>
              </w:rPr>
              <w:t>2.成果文件及质量满足主管部门的要求。</w:t>
            </w:r>
          </w:p>
          <w:p>
            <w:pPr>
              <w:pStyle w:val="null3"/>
            </w:pPr>
            <w:r>
              <w:rPr>
                <w:rFonts w:ascii="仿宋_GB2312" w:hAnsi="仿宋_GB2312" w:cs="仿宋_GB2312" w:eastAsia="仿宋_GB2312"/>
              </w:rPr>
              <w:t>（三）成果形式及内容</w:t>
            </w:r>
          </w:p>
          <w:p>
            <w:pPr>
              <w:pStyle w:val="null3"/>
            </w:pPr>
            <w:r>
              <w:rPr>
                <w:rFonts w:ascii="仿宋_GB2312" w:hAnsi="仿宋_GB2312" w:cs="仿宋_GB2312" w:eastAsia="仿宋_GB2312"/>
              </w:rPr>
              <w:t>内容：《渭南市生态环境保护规划（2025-2035年）》及相关资料等。</w:t>
            </w:r>
          </w:p>
          <w:p>
            <w:pPr>
              <w:pStyle w:val="null3"/>
            </w:pPr>
            <w:r>
              <w:rPr>
                <w:rFonts w:ascii="仿宋_GB2312" w:hAnsi="仿宋_GB2312" w:cs="仿宋_GB2312" w:eastAsia="仿宋_GB2312"/>
              </w:rPr>
              <w:t>形式：纸质版4份，电子版1份。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5个月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1.质量标准：成果文件及配套服务达到中省市及行业相关要求。 2.验收标准：按服务内容、服务要求、响应文件及澄清函、项目检查情况等综合指标进行验收。各项指标均应符合验收标准及要求。成果报告由采购人组织专家评审，并通过验收。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本次服务费根据项目完成进度支付。双方签定合同后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供应商完成所有工作内容，最终成果经采购人及相关部门验收合格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采购人因未及时向供应商提供项目启动所需资料、协调地方关系造成工期延误，每延误1日则本合同服务期限延长1日，以此类推；因资料真实性给供应商造成损失和产生相关连带责任时，采购人除按供应商要求进行赔偿外还需承担因连带责任产生的所有责任。 2、因供应商原因造成服务期延误（自然灾害等不可抗力除外），采购人有权从未付款项中按每日3‰合同价款扣除违约金，此违约以30日为限；若采购人未按约定时间付款，则供应商有权按每日3‰合同价款收取违约金。</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（1）根据《政府采购法实施条例》释义，银行、保险、石油石化、电力、电信等有行业特殊情况的，允许法人的分支机构参加政府采购活动。 （2）中标（成交）供应商在中标（成交）结果公告发布后3个工作日内提供叁套纸质投标文件（经编标工具生成的文件直接打印并加盖公章），递交的纸质版文件内容确保与线上电子文件保持一致，不允许修改和补充。（3）本项目所属行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供应商应须具有独立承担民事责任的能力的证明材料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②税收缴纳证明：提供响应文件递交截止时间前一年内任意一个月的缴费凭据（依法免税的供应商应提供相关文件证明）； ③社会保障资金缴纳证明：提供响应文件递交截止时间前一年内任意一个月的社保缴费凭据或社保机构开具的社会保险参保缴费情况证明（依法不需要缴纳社会保障资金的供应商应提供相关证明）； 注：按照陕西省财政厅关于进一步优化政府采购营商环境有关事项的通知（陕财办采〔2023〕4号）中对供应商参与政府采购活动建立“承诺+信用管理”的准入管理制度要求，以上三项内容可根据本磋商文件格式要求出具承诺函，成交供应商的承诺函同成交结果一并公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参加政府采购活动前三年内在经营活动中无重大违法记录；（提供书面声明，格式自拟）</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拟派项目负责人具备相关专业高级职称</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技术方案.docx 服务内容及服务邀请应答表 中小企业声明函 商务应答表 报价表 响应文件封面 政府采购供应商拒绝政府采购领域商业贿赂承诺书.docx 分项报价表.docx 残疾人福利性单位声明函 标的清单 供应商资格证明文件.docx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项目分析</w:t>
            </w:r>
          </w:p>
        </w:tc>
        <w:tc>
          <w:tcPr>
            <w:tcW w:type="dxa" w:w="2492"/>
          </w:tcPr>
          <w:p>
            <w:pPr>
              <w:pStyle w:val="null3"/>
            </w:pPr>
            <w:r>
              <w:rPr>
                <w:rFonts w:ascii="仿宋_GB2312" w:hAnsi="仿宋_GB2312" w:cs="仿宋_GB2312" w:eastAsia="仿宋_GB2312"/>
              </w:rPr>
              <w:t>评审内容： 包含：①项目理解，需求分析；②项目实施步骤各阶段进度控制保障措施；③项目重点、难点分析； 赋分标准（12分）： 每项评审内容不存在缺陷得4分，满分12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评审内容： 包含：①成果目标；②服务计划；③针对服务内容所需的具体方案；④保密措施。 赋分标准（16分）： 每项评审内容不存在缺陷得4分，满分16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评审内容： 包含： ①服务质量保障措施；②服务质量标准；③保证人员按时到岗措施。 赋分标准（12分）： 每项评审内容不存在缺陷得4分，满分12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项目进度计划及保证措施</w:t>
            </w:r>
          </w:p>
        </w:tc>
        <w:tc>
          <w:tcPr>
            <w:tcW w:type="dxa" w:w="2492"/>
          </w:tcPr>
          <w:p>
            <w:pPr>
              <w:pStyle w:val="null3"/>
            </w:pPr>
            <w:r>
              <w:rPr>
                <w:rFonts w:ascii="仿宋_GB2312" w:hAnsi="仿宋_GB2312" w:cs="仿宋_GB2312" w:eastAsia="仿宋_GB2312"/>
              </w:rPr>
              <w:t>评审内容： 包含：①各阶段进度控制计划；②进度控制保证措施。 赋分标准（8分）： 每项评审内容不存在缺陷得4分，满分8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评审内容： 包含：①突发事件识别；②应急情况处理措施；③突发事件应急人员安排。 赋分标准（12分）： 每项评审内容不存在缺陷得4分，满分12分；每项评审内容每存在一处缺陷扣0.5分，扣完为止；未提供不得分。（说明：存在下列情形之一的属于内容缺陷：①内容与项目需求不吻合、层次未细化的；②阐述未从实际出发，不切合项目背景、项目需求的；③存在抄袭或套用其他地区内容或与本项目无关的；④前后逻辑错误的；⑤无具体详细的阐述、实施性不强的；⑥科学原理或常识错误的）</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制定详细可行的服务方案及标准，并针对本项目提供详细具体可行的服务措施承诺，每提出一项得1分，最高得3分，未提供不得分。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制定针对本项目，详细可行的合理化建议，每提出一项得1分，最高得4分，未提供不得分。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供应商具有近三年（2022年12月至今）的类似项目业绩，每提供1个业绩得1分，本项目最高得3分。（以合同签订时间为准。）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1、服务团队： ①实施团队人员配备7人及以上得6分； ②实施团队人员配备4-6人得4分； ③实施团队人员配备1-3人得2分。 需提供佐证材料，包括但不限于身份证、毕业证、岗位证等，本项最高得6分，未提供不得分。 2、服务团队人员（不包含项目负责人）每具有一个相关专业中级职称得1分，相关专业高级职称得2分，本项最多得4分，需提供佐证材料，未提供不得分。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满足磋商文件要求且最后报价最低的供应商的价格为基准价得20分，其他各供应商的最后报价得分按下列公式计算：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详见附件：合同最终.docx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