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33CD3D">
      <w:pPr>
        <w:spacing w:line="360" w:lineRule="auto"/>
        <w:jc w:val="center"/>
        <w:rPr>
          <w:rFonts w:hint="eastAsia" w:ascii="宋体" w:hAnsi="宋体" w:eastAsia="宋体" w:cs="宋体"/>
          <w:color w:val="auto"/>
          <w:spacing w:val="12"/>
          <w:sz w:val="24"/>
          <w:szCs w:val="24"/>
        </w:rPr>
      </w:pPr>
      <w:bookmarkStart w:id="0" w:name="_Toc5298"/>
      <w:bookmarkStart w:id="1" w:name="_Toc10666"/>
      <w:bookmarkStart w:id="2" w:name="_Toc3623"/>
    </w:p>
    <w:p w14:paraId="7DDA1DC4">
      <w:pPr>
        <w:spacing w:line="360" w:lineRule="auto"/>
        <w:jc w:val="center"/>
        <w:rPr>
          <w:rFonts w:hint="eastAsia" w:ascii="宋体" w:hAnsi="宋体" w:eastAsia="宋体" w:cs="宋体"/>
          <w:color w:val="auto"/>
          <w:spacing w:val="12"/>
          <w:sz w:val="24"/>
          <w:szCs w:val="24"/>
        </w:rPr>
      </w:pPr>
    </w:p>
    <w:p w14:paraId="2FEC453B">
      <w:pPr>
        <w:pStyle w:val="2"/>
        <w:ind w:firstLine="0"/>
        <w:rPr>
          <w:rFonts w:hint="eastAsia" w:ascii="宋体" w:hAnsi="宋体" w:eastAsia="宋体" w:cs="宋体"/>
          <w:color w:val="auto"/>
          <w:sz w:val="24"/>
          <w:szCs w:val="24"/>
        </w:rPr>
      </w:pPr>
    </w:p>
    <w:p w14:paraId="70F90FCE">
      <w:pPr>
        <w:pStyle w:val="2"/>
        <w:keepNext w:val="0"/>
        <w:keepLines w:val="0"/>
        <w:pageBreakBefore w:val="0"/>
        <w:widowControl w:val="0"/>
        <w:kinsoku/>
        <w:wordWrap/>
        <w:overflowPunct/>
        <w:topLinePunct w:val="0"/>
        <w:autoSpaceDE w:val="0"/>
        <w:autoSpaceDN w:val="0"/>
        <w:bidi w:val="0"/>
        <w:adjustRightInd w:val="0"/>
        <w:snapToGrid/>
        <w:spacing w:line="720" w:lineRule="exact"/>
        <w:ind w:firstLine="0"/>
        <w:jc w:val="center"/>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t>《渭南市生态环境保护规划（2025-2035年）》编制</w:t>
      </w:r>
    </w:p>
    <w:p w14:paraId="1B7BE770">
      <w:pPr>
        <w:pStyle w:val="2"/>
        <w:rPr>
          <w:rFonts w:hint="eastAsia" w:ascii="宋体" w:hAnsi="宋体" w:eastAsia="宋体" w:cs="宋体"/>
          <w:color w:val="auto"/>
          <w:sz w:val="24"/>
          <w:szCs w:val="24"/>
        </w:rPr>
      </w:pPr>
    </w:p>
    <w:p w14:paraId="6093BD2E">
      <w:pPr>
        <w:pStyle w:val="2"/>
        <w:rPr>
          <w:rFonts w:hint="eastAsia" w:ascii="宋体" w:hAnsi="宋体" w:eastAsia="宋体" w:cs="宋体"/>
          <w:color w:val="auto"/>
          <w:sz w:val="24"/>
          <w:szCs w:val="24"/>
        </w:rPr>
      </w:pPr>
    </w:p>
    <w:p w14:paraId="06A360FD">
      <w:pPr>
        <w:spacing w:line="360" w:lineRule="auto"/>
        <w:jc w:val="center"/>
        <w:rPr>
          <w:rFonts w:hint="eastAsia" w:ascii="宋体" w:hAnsi="宋体" w:eastAsia="宋体" w:cs="宋体"/>
          <w:b/>
          <w:bCs/>
          <w:color w:val="auto"/>
          <w:spacing w:val="12"/>
          <w:sz w:val="24"/>
          <w:szCs w:val="24"/>
        </w:rPr>
      </w:pPr>
      <w:r>
        <w:rPr>
          <w:rFonts w:hint="eastAsia" w:ascii="宋体" w:hAnsi="宋体" w:eastAsia="宋体" w:cs="宋体"/>
          <w:b/>
          <w:bCs/>
          <w:color w:val="auto"/>
          <w:spacing w:val="12"/>
          <w:sz w:val="24"/>
          <w:szCs w:val="24"/>
        </w:rPr>
        <w:t>政府采购合同书</w:t>
      </w:r>
    </w:p>
    <w:p w14:paraId="73E25A6B">
      <w:pPr>
        <w:spacing w:line="360" w:lineRule="auto"/>
        <w:jc w:val="center"/>
        <w:rPr>
          <w:rFonts w:hint="eastAsia" w:ascii="宋体" w:hAnsi="宋体" w:eastAsia="宋体" w:cs="宋体"/>
          <w:color w:val="auto"/>
          <w:spacing w:val="12"/>
          <w:sz w:val="24"/>
          <w:szCs w:val="24"/>
        </w:rPr>
      </w:pPr>
      <w:r>
        <w:rPr>
          <w:rFonts w:hint="eastAsia" w:ascii="宋体" w:hAnsi="宋体" w:eastAsia="宋体" w:cs="宋体"/>
          <w:color w:val="auto"/>
          <w:spacing w:val="12"/>
          <w:sz w:val="24"/>
          <w:szCs w:val="24"/>
        </w:rPr>
        <w:t xml:space="preserve">                   </w:t>
      </w:r>
    </w:p>
    <w:p w14:paraId="63A461E8">
      <w:pPr>
        <w:pStyle w:val="2"/>
        <w:rPr>
          <w:rFonts w:hint="eastAsia" w:ascii="宋体" w:hAnsi="宋体" w:eastAsia="宋体" w:cs="宋体"/>
          <w:color w:val="auto"/>
          <w:spacing w:val="12"/>
          <w:sz w:val="24"/>
          <w:szCs w:val="24"/>
        </w:rPr>
      </w:pPr>
    </w:p>
    <w:p w14:paraId="78EFB17A">
      <w:pPr>
        <w:rPr>
          <w:rFonts w:hint="eastAsia" w:ascii="宋体" w:hAnsi="宋体" w:eastAsia="宋体" w:cs="宋体"/>
          <w:color w:val="auto"/>
          <w:sz w:val="24"/>
          <w:szCs w:val="24"/>
        </w:rPr>
      </w:pPr>
    </w:p>
    <w:p w14:paraId="403A52F3">
      <w:pPr>
        <w:pStyle w:val="11"/>
        <w:rPr>
          <w:rFonts w:hint="eastAsia" w:ascii="宋体" w:hAnsi="宋体" w:eastAsia="宋体" w:cs="宋体"/>
          <w:color w:val="auto"/>
          <w:sz w:val="24"/>
          <w:szCs w:val="24"/>
        </w:rPr>
      </w:pPr>
    </w:p>
    <w:p w14:paraId="643ABC89">
      <w:pPr>
        <w:pStyle w:val="11"/>
        <w:ind w:left="0" w:leftChars="0" w:firstLine="0" w:firstLineChars="0"/>
        <w:rPr>
          <w:rFonts w:hint="eastAsia" w:ascii="宋体" w:hAnsi="宋体" w:eastAsia="宋体" w:cs="宋体"/>
          <w:color w:val="auto"/>
          <w:sz w:val="24"/>
          <w:szCs w:val="24"/>
        </w:rPr>
      </w:pPr>
    </w:p>
    <w:p w14:paraId="400D64AA">
      <w:pPr>
        <w:keepNext w:val="0"/>
        <w:keepLines w:val="0"/>
        <w:pageBreakBefore w:val="0"/>
        <w:widowControl w:val="0"/>
        <w:kinsoku/>
        <w:wordWrap/>
        <w:overflowPunct/>
        <w:topLinePunct w:val="0"/>
        <w:autoSpaceDE/>
        <w:autoSpaceDN/>
        <w:bidi w:val="0"/>
        <w:adjustRightInd/>
        <w:snapToGrid/>
        <w:spacing w:line="480" w:lineRule="auto"/>
        <w:ind w:firstLine="1590" w:firstLineChars="600"/>
        <w:jc w:val="left"/>
        <w:textAlignment w:val="auto"/>
        <w:rPr>
          <w:rFonts w:hint="eastAsia" w:ascii="宋体" w:hAnsi="宋体" w:eastAsia="宋体" w:cs="宋体"/>
          <w:b/>
          <w:bCs/>
          <w:color w:val="auto"/>
          <w:spacing w:val="12"/>
          <w:sz w:val="24"/>
          <w:szCs w:val="24"/>
        </w:rPr>
      </w:pPr>
      <w:r>
        <w:rPr>
          <w:rFonts w:hint="eastAsia" w:ascii="宋体" w:hAnsi="宋体" w:eastAsia="宋体" w:cs="宋体"/>
          <w:b/>
          <w:bCs/>
          <w:color w:val="auto"/>
          <w:spacing w:val="12"/>
          <w:sz w:val="24"/>
          <w:szCs w:val="24"/>
          <w:lang w:val="en-US" w:eastAsia="zh-CN"/>
        </w:rPr>
        <w:t>项目</w:t>
      </w:r>
      <w:r>
        <w:rPr>
          <w:rFonts w:hint="eastAsia" w:ascii="宋体" w:hAnsi="宋体" w:eastAsia="宋体" w:cs="宋体"/>
          <w:b/>
          <w:bCs/>
          <w:color w:val="auto"/>
          <w:spacing w:val="12"/>
          <w:sz w:val="24"/>
          <w:szCs w:val="24"/>
          <w:lang w:eastAsia="zh-CN"/>
        </w:rPr>
        <w:t>编号</w:t>
      </w:r>
      <w:r>
        <w:rPr>
          <w:rFonts w:hint="eastAsia" w:ascii="宋体" w:hAnsi="宋体" w:eastAsia="宋体" w:cs="宋体"/>
          <w:b/>
          <w:bCs/>
          <w:color w:val="auto"/>
          <w:spacing w:val="12"/>
          <w:sz w:val="24"/>
          <w:szCs w:val="24"/>
        </w:rPr>
        <w:t>：ZCSP-渭南市-2025-00866</w:t>
      </w:r>
    </w:p>
    <w:p w14:paraId="43986A72">
      <w:pPr>
        <w:keepNext w:val="0"/>
        <w:keepLines w:val="0"/>
        <w:pageBreakBefore w:val="0"/>
        <w:widowControl w:val="0"/>
        <w:kinsoku/>
        <w:wordWrap/>
        <w:overflowPunct/>
        <w:topLinePunct w:val="0"/>
        <w:autoSpaceDE/>
        <w:autoSpaceDN/>
        <w:bidi w:val="0"/>
        <w:adjustRightInd/>
        <w:snapToGrid/>
        <w:spacing w:line="480" w:lineRule="auto"/>
        <w:ind w:firstLine="1590" w:firstLineChars="600"/>
        <w:jc w:val="left"/>
        <w:textAlignment w:val="auto"/>
        <w:rPr>
          <w:rFonts w:hint="default" w:ascii="宋体" w:hAnsi="宋体" w:eastAsia="宋体" w:cs="宋体"/>
          <w:b/>
          <w:bCs/>
          <w:color w:val="auto"/>
          <w:spacing w:val="12"/>
          <w:sz w:val="24"/>
          <w:szCs w:val="24"/>
          <w:lang w:val="en-US" w:eastAsia="zh-CN"/>
        </w:rPr>
      </w:pPr>
      <w:r>
        <w:rPr>
          <w:rFonts w:hint="eastAsia" w:ascii="宋体" w:hAnsi="宋体" w:eastAsia="宋体" w:cs="宋体"/>
          <w:b/>
          <w:bCs/>
          <w:color w:val="auto"/>
          <w:spacing w:val="12"/>
          <w:sz w:val="24"/>
          <w:szCs w:val="24"/>
        </w:rPr>
        <w:t>采购人：</w:t>
      </w:r>
      <w:r>
        <w:rPr>
          <w:rFonts w:hint="eastAsia" w:ascii="宋体" w:hAnsi="宋体" w:eastAsia="宋体" w:cs="宋体"/>
          <w:b/>
          <w:bCs/>
          <w:color w:val="auto"/>
          <w:spacing w:val="12"/>
          <w:sz w:val="24"/>
          <w:szCs w:val="24"/>
          <w:lang w:val="en-US" w:eastAsia="zh-CN"/>
        </w:rPr>
        <w:t>渭南市环境科学研究中心</w:t>
      </w:r>
    </w:p>
    <w:p w14:paraId="441B5660">
      <w:pPr>
        <w:keepNext w:val="0"/>
        <w:keepLines w:val="0"/>
        <w:pageBreakBefore w:val="0"/>
        <w:widowControl w:val="0"/>
        <w:kinsoku/>
        <w:wordWrap/>
        <w:overflowPunct/>
        <w:topLinePunct w:val="0"/>
        <w:autoSpaceDE/>
        <w:autoSpaceDN/>
        <w:bidi w:val="0"/>
        <w:adjustRightInd/>
        <w:snapToGrid/>
        <w:spacing w:line="480" w:lineRule="auto"/>
        <w:ind w:firstLine="1590" w:firstLineChars="600"/>
        <w:textAlignment w:val="auto"/>
        <w:rPr>
          <w:rFonts w:hint="eastAsia" w:ascii="宋体" w:hAnsi="宋体" w:eastAsia="宋体" w:cs="宋体"/>
          <w:b/>
          <w:bCs/>
          <w:color w:val="auto"/>
          <w:spacing w:val="12"/>
          <w:sz w:val="24"/>
          <w:szCs w:val="24"/>
        </w:rPr>
      </w:pPr>
      <w:r>
        <w:rPr>
          <w:rFonts w:hint="eastAsia" w:ascii="宋体" w:hAnsi="宋体" w:eastAsia="宋体" w:cs="宋体"/>
          <w:b/>
          <w:bCs/>
          <w:color w:val="auto"/>
          <w:spacing w:val="12"/>
          <w:sz w:val="24"/>
          <w:szCs w:val="24"/>
        </w:rPr>
        <w:t>供应商：</w:t>
      </w:r>
    </w:p>
    <w:bookmarkEnd w:id="0"/>
    <w:bookmarkEnd w:id="1"/>
    <w:bookmarkEnd w:id="2"/>
    <w:p w14:paraId="77430B0B">
      <w:pPr>
        <w:spacing w:line="360" w:lineRule="auto"/>
        <w:rPr>
          <w:rFonts w:hint="eastAsia"/>
          <w:color w:val="auto"/>
          <w:sz w:val="24"/>
          <w:szCs w:val="24"/>
        </w:rPr>
      </w:pPr>
      <w:bookmarkStart w:id="3" w:name="_Toc70096361"/>
      <w:bookmarkStart w:id="4" w:name="_Toc13791"/>
    </w:p>
    <w:p w14:paraId="2AE08926">
      <w:pPr>
        <w:spacing w:line="360" w:lineRule="auto"/>
        <w:rPr>
          <w:rFonts w:hint="eastAsia"/>
          <w:color w:val="auto"/>
          <w:sz w:val="24"/>
          <w:szCs w:val="24"/>
        </w:rPr>
      </w:pPr>
    </w:p>
    <w:p w14:paraId="31BFDF17">
      <w:pPr>
        <w:spacing w:line="360" w:lineRule="auto"/>
        <w:rPr>
          <w:rFonts w:hint="eastAsia"/>
          <w:color w:val="auto"/>
          <w:sz w:val="24"/>
          <w:szCs w:val="24"/>
        </w:rPr>
      </w:pPr>
    </w:p>
    <w:p w14:paraId="1DD43953">
      <w:pPr>
        <w:pStyle w:val="4"/>
        <w:rPr>
          <w:rFonts w:hint="eastAsia"/>
          <w:sz w:val="24"/>
          <w:szCs w:val="24"/>
        </w:rPr>
      </w:pPr>
    </w:p>
    <w:p w14:paraId="6414B2FD">
      <w:pPr>
        <w:keepNext w:val="0"/>
        <w:keepLines w:val="0"/>
        <w:pageBreakBefore w:val="0"/>
        <w:widowControl w:val="0"/>
        <w:kinsoku/>
        <w:wordWrap/>
        <w:overflowPunct/>
        <w:topLinePunct w:val="0"/>
        <w:autoSpaceDE/>
        <w:autoSpaceDN/>
        <w:bidi w:val="0"/>
        <w:adjustRightInd/>
        <w:snapToGrid/>
        <w:spacing w:line="480" w:lineRule="auto"/>
        <w:ind w:firstLine="2384" w:firstLineChars="900"/>
        <w:jc w:val="left"/>
        <w:textAlignment w:val="auto"/>
        <w:rPr>
          <w:rFonts w:hint="eastAsia" w:ascii="宋体" w:hAnsi="宋体" w:eastAsia="宋体" w:cs="宋体"/>
          <w:b/>
          <w:bCs/>
          <w:color w:val="auto"/>
          <w:spacing w:val="12"/>
          <w:sz w:val="24"/>
          <w:szCs w:val="24"/>
        </w:rPr>
      </w:pPr>
      <w:r>
        <w:rPr>
          <w:rFonts w:hint="eastAsia" w:ascii="宋体" w:hAnsi="宋体" w:eastAsia="宋体" w:cs="宋体"/>
          <w:b/>
          <w:bCs/>
          <w:color w:val="auto"/>
          <w:spacing w:val="12"/>
          <w:sz w:val="24"/>
          <w:szCs w:val="24"/>
        </w:rPr>
        <w:t>签订时间：</w:t>
      </w:r>
      <w:r>
        <w:rPr>
          <w:rFonts w:hint="eastAsia" w:ascii="宋体" w:hAnsi="宋体" w:cs="宋体"/>
          <w:b/>
          <w:bCs/>
          <w:color w:val="auto"/>
          <w:spacing w:val="12"/>
          <w:sz w:val="24"/>
          <w:szCs w:val="24"/>
          <w:lang w:val="en-US" w:eastAsia="zh-CN"/>
        </w:rPr>
        <w:t xml:space="preserve">      </w:t>
      </w:r>
      <w:r>
        <w:rPr>
          <w:rFonts w:hint="eastAsia" w:ascii="宋体" w:hAnsi="宋体" w:eastAsia="宋体" w:cs="宋体"/>
          <w:b/>
          <w:bCs/>
          <w:color w:val="auto"/>
          <w:spacing w:val="12"/>
          <w:sz w:val="24"/>
          <w:szCs w:val="24"/>
        </w:rPr>
        <w:t>年</w:t>
      </w:r>
      <w:r>
        <w:rPr>
          <w:rFonts w:hint="eastAsia" w:ascii="宋体" w:hAnsi="宋体" w:cs="宋体"/>
          <w:b/>
          <w:bCs/>
          <w:color w:val="auto"/>
          <w:spacing w:val="12"/>
          <w:sz w:val="24"/>
          <w:szCs w:val="24"/>
          <w:lang w:val="en-US" w:eastAsia="zh-CN"/>
        </w:rPr>
        <w:t xml:space="preserve">   </w:t>
      </w:r>
      <w:r>
        <w:rPr>
          <w:rFonts w:hint="eastAsia" w:ascii="宋体" w:hAnsi="宋体" w:eastAsia="宋体" w:cs="宋体"/>
          <w:b/>
          <w:bCs/>
          <w:color w:val="auto"/>
          <w:spacing w:val="12"/>
          <w:sz w:val="24"/>
          <w:szCs w:val="24"/>
        </w:rPr>
        <w:t>月</w:t>
      </w:r>
    </w:p>
    <w:p w14:paraId="4170F6C0">
      <w:pPr>
        <w:keepNext w:val="0"/>
        <w:keepLines w:val="0"/>
        <w:pageBreakBefore w:val="0"/>
        <w:widowControl w:val="0"/>
        <w:kinsoku/>
        <w:wordWrap/>
        <w:overflowPunct/>
        <w:topLinePunct w:val="0"/>
        <w:autoSpaceDE/>
        <w:autoSpaceDN/>
        <w:bidi w:val="0"/>
        <w:adjustRightInd/>
        <w:snapToGrid/>
        <w:spacing w:line="480" w:lineRule="auto"/>
        <w:ind w:firstLine="2384" w:firstLineChars="900"/>
        <w:jc w:val="left"/>
        <w:textAlignment w:val="auto"/>
        <w:rPr>
          <w:rFonts w:hint="eastAsia" w:ascii="宋体" w:hAnsi="宋体" w:eastAsia="宋体" w:cs="宋体"/>
          <w:b/>
          <w:bCs/>
          <w:color w:val="auto"/>
          <w:spacing w:val="12"/>
          <w:sz w:val="24"/>
          <w:szCs w:val="24"/>
          <w:lang w:val="en-US" w:eastAsia="zh-CN"/>
        </w:rPr>
        <w:sectPr>
          <w:headerReference r:id="rId5" w:type="default"/>
          <w:footerReference r:id="rId6" w:type="default"/>
          <w:pgSz w:w="11906" w:h="16838"/>
          <w:pgMar w:top="1417" w:right="1417" w:bottom="1417" w:left="1417" w:header="851" w:footer="992" w:gutter="0"/>
          <w:pgBorders>
            <w:top w:val="none" w:sz="0" w:space="0"/>
            <w:left w:val="none" w:sz="0" w:space="0"/>
            <w:bottom w:val="none" w:sz="0" w:space="0"/>
            <w:right w:val="none" w:sz="0" w:space="0"/>
          </w:pgBorders>
          <w:pgNumType w:fmt="decimal"/>
          <w:cols w:space="720" w:num="1"/>
          <w:rtlGutter w:val="0"/>
          <w:docGrid w:type="lines" w:linePitch="312" w:charSpace="0"/>
        </w:sectPr>
      </w:pPr>
      <w:r>
        <w:rPr>
          <w:rFonts w:hint="eastAsia" w:ascii="宋体" w:hAnsi="宋体" w:eastAsia="宋体" w:cs="宋体"/>
          <w:b/>
          <w:bCs/>
          <w:color w:val="auto"/>
          <w:spacing w:val="12"/>
          <w:sz w:val="24"/>
          <w:szCs w:val="24"/>
          <w:lang w:eastAsia="zh-CN"/>
        </w:rPr>
        <w:t>签订地点：渭南市</w:t>
      </w:r>
    </w:p>
    <w:p w14:paraId="5C702D0B">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根据</w:t>
      </w:r>
      <w:r>
        <w:rPr>
          <w:rFonts w:hint="eastAsia" w:ascii="宋体" w:hAnsi="宋体" w:eastAsia="宋体" w:cs="宋体"/>
          <w:b/>
          <w:bCs/>
          <w:color w:val="auto"/>
          <w:sz w:val="24"/>
          <w:szCs w:val="24"/>
          <w:u w:val="single"/>
          <w:lang w:eastAsia="zh-CN"/>
        </w:rPr>
        <w:t>《渭南市生态环境保护规划（2025-2035年）》编制</w:t>
      </w:r>
      <w:r>
        <w:rPr>
          <w:rFonts w:hint="eastAsia" w:ascii="宋体" w:hAnsi="宋体" w:eastAsia="宋体" w:cs="宋体"/>
          <w:color w:val="auto"/>
          <w:sz w:val="24"/>
          <w:szCs w:val="24"/>
        </w:rPr>
        <w:t>的采购结果，按照《中华人民共和国政府采购法》、《中华人民共和国民法典》等规定，经双方协商，本着平等互利和诚实信用的原则，一致同意签订本合同如下。</w:t>
      </w:r>
    </w:p>
    <w:p w14:paraId="00BD6D16">
      <w:pPr>
        <w:spacing w:line="360" w:lineRule="auto"/>
        <w:ind w:firstLine="482" w:firstLineChars="200"/>
        <w:rPr>
          <w:rFonts w:hint="eastAsia" w:ascii="宋体" w:hAnsi="宋体" w:eastAsia="宋体" w:cs="宋体"/>
          <w:b/>
          <w:bCs/>
          <w:color w:val="auto"/>
          <w:sz w:val="24"/>
          <w:szCs w:val="24"/>
        </w:rPr>
      </w:pPr>
      <w:r>
        <w:rPr>
          <w:rFonts w:hint="eastAsia" w:ascii="宋体" w:hAnsi="宋体" w:eastAsia="宋体" w:cs="宋体"/>
          <w:b/>
          <w:bCs/>
          <w:color w:val="auto"/>
          <w:sz w:val="24"/>
          <w:szCs w:val="24"/>
        </w:rPr>
        <w:t>一、合同文件</w:t>
      </w:r>
    </w:p>
    <w:p w14:paraId="232F00F5">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1、协议书条款；</w:t>
      </w:r>
    </w:p>
    <w:p w14:paraId="39DB52D2">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2、竞争性磋商文件；</w:t>
      </w:r>
    </w:p>
    <w:p w14:paraId="5AABC298">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3、磋商响应文件；</w:t>
      </w:r>
    </w:p>
    <w:p w14:paraId="33FE694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4、成交通知书；</w:t>
      </w:r>
    </w:p>
    <w:p w14:paraId="19539D29">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5、其他。</w:t>
      </w:r>
    </w:p>
    <w:p w14:paraId="1F3EB12F">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上述所指合同文件应认为是互相补充和解释的，但是有模棱两可或互相矛盾之处，以其所列内容顺序为准。</w:t>
      </w:r>
    </w:p>
    <w:p w14:paraId="2A963542">
      <w:pPr>
        <w:spacing w:line="360" w:lineRule="auto"/>
        <w:ind w:firstLine="482" w:firstLineChars="200"/>
        <w:rPr>
          <w:rFonts w:hint="eastAsia" w:ascii="宋体" w:hAnsi="宋体" w:eastAsia="宋体" w:cs="宋体"/>
          <w:b/>
          <w:bCs/>
          <w:color w:val="auto"/>
          <w:sz w:val="24"/>
          <w:szCs w:val="24"/>
        </w:rPr>
      </w:pPr>
      <w:bookmarkStart w:id="5" w:name="_Toc9090"/>
      <w:r>
        <w:rPr>
          <w:rFonts w:hint="eastAsia" w:ascii="宋体" w:hAnsi="宋体" w:eastAsia="宋体" w:cs="宋体"/>
          <w:b/>
          <w:bCs/>
          <w:color w:val="auto"/>
          <w:sz w:val="24"/>
          <w:szCs w:val="24"/>
        </w:rPr>
        <w:t>二、合同价款</w:t>
      </w:r>
      <w:bookmarkEnd w:id="5"/>
    </w:p>
    <w:p w14:paraId="4E121396">
      <w:pPr>
        <w:spacing w:line="360" w:lineRule="auto"/>
        <w:ind w:firstLine="480" w:firstLineChars="200"/>
        <w:rPr>
          <w:rFonts w:hint="eastAsia" w:ascii="宋体" w:hAnsi="宋体" w:eastAsia="宋体" w:cs="宋体"/>
          <w:b/>
          <w:bCs/>
          <w:color w:val="auto"/>
          <w:sz w:val="24"/>
          <w:szCs w:val="24"/>
        </w:rPr>
      </w:pPr>
      <w:r>
        <w:rPr>
          <w:rFonts w:hint="eastAsia" w:ascii="宋体" w:hAnsi="宋体" w:eastAsia="宋体" w:cs="宋体"/>
          <w:color w:val="auto"/>
          <w:sz w:val="24"/>
          <w:szCs w:val="24"/>
        </w:rPr>
        <w:t>（一）合同总价款为</w:t>
      </w:r>
      <w:r>
        <w:rPr>
          <w:rFonts w:hint="eastAsia" w:ascii="宋体" w:hAnsi="宋体" w:eastAsia="宋体" w:cs="宋体"/>
          <w:b/>
          <w:bCs/>
          <w:color w:val="auto"/>
          <w:sz w:val="24"/>
          <w:szCs w:val="24"/>
        </w:rPr>
        <w:t>人民币（大写）</w:t>
      </w:r>
      <w:r>
        <w:rPr>
          <w:rFonts w:hint="eastAsia" w:ascii="宋体" w:hAnsi="宋体" w:eastAsia="宋体" w:cs="宋体"/>
          <w:b/>
          <w:bCs/>
          <w:color w:val="auto"/>
          <w:sz w:val="24"/>
          <w:szCs w:val="24"/>
          <w:u w:val="single"/>
        </w:rPr>
        <w:t xml:space="preserve"> </w:t>
      </w:r>
      <w:r>
        <w:rPr>
          <w:rFonts w:hint="eastAsia" w:ascii="宋体" w:hAnsi="宋体" w:cs="宋体"/>
          <w:b/>
          <w:bCs/>
          <w:color w:val="auto"/>
          <w:sz w:val="24"/>
          <w:szCs w:val="24"/>
          <w:u w:val="single"/>
          <w:lang w:val="en-US" w:eastAsia="zh-CN"/>
        </w:rPr>
        <w:t xml:space="preserve">         </w:t>
      </w:r>
      <w:r>
        <w:rPr>
          <w:rFonts w:hint="eastAsia" w:ascii="宋体" w:hAnsi="宋体" w:eastAsia="宋体" w:cs="宋体"/>
          <w:b/>
          <w:bCs/>
          <w:color w:val="auto"/>
          <w:sz w:val="24"/>
          <w:szCs w:val="24"/>
          <w:u w:val="single"/>
        </w:rPr>
        <w:t xml:space="preserve"> </w:t>
      </w:r>
      <w:r>
        <w:rPr>
          <w:rFonts w:hint="eastAsia" w:ascii="宋体" w:hAnsi="宋体" w:eastAsia="宋体" w:cs="宋体"/>
          <w:b/>
          <w:bCs/>
          <w:color w:val="auto"/>
          <w:sz w:val="24"/>
          <w:szCs w:val="24"/>
        </w:rPr>
        <w:t xml:space="preserve"> （¥</w:t>
      </w:r>
      <w:r>
        <w:rPr>
          <w:rFonts w:hint="eastAsia" w:ascii="宋体" w:hAnsi="宋体" w:eastAsia="宋体" w:cs="宋体"/>
          <w:b/>
          <w:bCs/>
          <w:color w:val="auto"/>
          <w:sz w:val="24"/>
          <w:szCs w:val="24"/>
          <w:u w:val="single"/>
        </w:rPr>
        <w:t xml:space="preserve"> </w:t>
      </w:r>
      <w:r>
        <w:rPr>
          <w:rFonts w:hint="eastAsia" w:ascii="宋体" w:hAnsi="宋体" w:cs="宋体"/>
          <w:b/>
          <w:bCs/>
          <w:color w:val="auto"/>
          <w:sz w:val="24"/>
          <w:szCs w:val="24"/>
          <w:u w:val="single"/>
          <w:lang w:val="en-US" w:eastAsia="zh-CN"/>
        </w:rPr>
        <w:t xml:space="preserve">            </w:t>
      </w:r>
      <w:r>
        <w:rPr>
          <w:rFonts w:hint="eastAsia" w:ascii="宋体" w:hAnsi="宋体" w:eastAsia="宋体" w:cs="宋体"/>
          <w:b/>
          <w:bCs/>
          <w:color w:val="auto"/>
          <w:sz w:val="24"/>
          <w:szCs w:val="24"/>
          <w:u w:val="single"/>
        </w:rPr>
        <w:t xml:space="preserve"> </w:t>
      </w:r>
      <w:r>
        <w:rPr>
          <w:rFonts w:hint="eastAsia" w:ascii="宋体" w:hAnsi="宋体" w:eastAsia="宋体" w:cs="宋体"/>
          <w:b/>
          <w:bCs/>
          <w:color w:val="auto"/>
          <w:sz w:val="24"/>
          <w:szCs w:val="24"/>
        </w:rPr>
        <w:t>）。</w:t>
      </w:r>
    </w:p>
    <w:p w14:paraId="0E820A71">
      <w:pPr>
        <w:spacing w:line="360" w:lineRule="auto"/>
        <w:ind w:firstLine="480" w:firstLineChars="200"/>
        <w:rPr>
          <w:color w:val="auto"/>
          <w:sz w:val="24"/>
          <w:szCs w:val="24"/>
        </w:rPr>
      </w:pPr>
      <w:r>
        <w:rPr>
          <w:rFonts w:hint="eastAsia"/>
          <w:color w:val="auto"/>
          <w:sz w:val="24"/>
          <w:szCs w:val="24"/>
        </w:rPr>
        <w:t>（二）合同总价款是指完成本次</w:t>
      </w:r>
      <w:r>
        <w:rPr>
          <w:rFonts w:hint="eastAsia"/>
          <w:color w:val="auto"/>
          <w:sz w:val="24"/>
          <w:szCs w:val="24"/>
          <w:lang w:val="en-US" w:eastAsia="zh-CN"/>
        </w:rPr>
        <w:t>服务</w:t>
      </w:r>
      <w:r>
        <w:rPr>
          <w:rFonts w:hint="eastAsia"/>
          <w:color w:val="auto"/>
          <w:sz w:val="24"/>
          <w:szCs w:val="24"/>
        </w:rPr>
        <w:t>包含的所有</w:t>
      </w:r>
      <w:r>
        <w:rPr>
          <w:rFonts w:hint="eastAsia"/>
          <w:color w:val="auto"/>
          <w:sz w:val="24"/>
          <w:szCs w:val="24"/>
          <w:lang w:val="en-US" w:eastAsia="zh-CN"/>
        </w:rPr>
        <w:t>费用</w:t>
      </w:r>
      <w:r>
        <w:rPr>
          <w:rFonts w:hint="eastAsia"/>
          <w:color w:val="auto"/>
          <w:sz w:val="24"/>
          <w:szCs w:val="24"/>
        </w:rPr>
        <w:t>，</w:t>
      </w:r>
      <w:r>
        <w:rPr>
          <w:rFonts w:hint="eastAsia"/>
          <w:color w:val="auto"/>
          <w:sz w:val="24"/>
          <w:szCs w:val="24"/>
          <w:lang w:val="en-US" w:eastAsia="zh-CN"/>
        </w:rPr>
        <w:t>包括但不限于项目调研费、现场踏勘费、测量费、检测费、编制费、交通费、住宿费、管理费、税金、利润、磋商文件明示及暗示所有风险等所有费用，服务期内采购人不再增加任何费用。</w:t>
      </w:r>
    </w:p>
    <w:p w14:paraId="54935196">
      <w:pPr>
        <w:spacing w:line="360" w:lineRule="auto"/>
        <w:ind w:firstLine="480" w:firstLineChars="200"/>
        <w:rPr>
          <w:rFonts w:hint="eastAsia"/>
          <w:color w:val="auto"/>
          <w:sz w:val="24"/>
          <w:szCs w:val="24"/>
        </w:rPr>
      </w:pPr>
      <w:r>
        <w:rPr>
          <w:rFonts w:hint="eastAsia"/>
          <w:color w:val="auto"/>
          <w:sz w:val="24"/>
          <w:szCs w:val="24"/>
        </w:rPr>
        <w:t>（三）合同</w:t>
      </w:r>
      <w:r>
        <w:rPr>
          <w:rFonts w:hint="eastAsia"/>
          <w:color w:val="auto"/>
          <w:sz w:val="24"/>
          <w:szCs w:val="24"/>
          <w:lang w:val="en-US" w:eastAsia="zh-CN"/>
        </w:rPr>
        <w:t>单</w:t>
      </w:r>
      <w:r>
        <w:rPr>
          <w:rFonts w:hint="eastAsia"/>
          <w:color w:val="auto"/>
          <w:sz w:val="24"/>
          <w:szCs w:val="24"/>
        </w:rPr>
        <w:t>价一次性包死，不受市场价格变化因素的影响。</w:t>
      </w:r>
      <w:bookmarkStart w:id="6" w:name="_Toc5628"/>
    </w:p>
    <w:p w14:paraId="36D1A630">
      <w:pPr>
        <w:spacing w:line="360" w:lineRule="auto"/>
        <w:ind w:firstLine="482" w:firstLineChars="200"/>
        <w:rPr>
          <w:b/>
          <w:color w:val="auto"/>
          <w:sz w:val="24"/>
          <w:szCs w:val="24"/>
        </w:rPr>
      </w:pPr>
      <w:r>
        <w:rPr>
          <w:rFonts w:hint="eastAsia"/>
          <w:b/>
          <w:color w:val="auto"/>
          <w:sz w:val="24"/>
          <w:szCs w:val="24"/>
        </w:rPr>
        <w:t>三、款项结算</w:t>
      </w:r>
      <w:bookmarkEnd w:id="6"/>
    </w:p>
    <w:p w14:paraId="2EA9F2BB">
      <w:pPr>
        <w:keepNext w:val="0"/>
        <w:keepLines w:val="0"/>
        <w:pageBreakBefore w:val="0"/>
        <w:widowControl w:val="0"/>
        <w:numPr>
          <w:ilvl w:val="0"/>
          <w:numId w:val="0"/>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b/>
          <w:bCs/>
          <w:color w:val="auto"/>
          <w:kern w:val="0"/>
          <w:sz w:val="24"/>
          <w:szCs w:val="24"/>
        </w:rPr>
      </w:pPr>
      <w:r>
        <w:rPr>
          <w:rFonts w:hint="eastAsia" w:ascii="宋体" w:hAnsi="宋体" w:cs="宋体"/>
          <w:color w:val="auto"/>
          <w:kern w:val="0"/>
          <w:sz w:val="24"/>
          <w:szCs w:val="24"/>
        </w:rPr>
        <w:t>（一）合同价款的支付：</w:t>
      </w:r>
      <w:r>
        <w:rPr>
          <w:rFonts w:hint="eastAsia" w:ascii="宋体" w:hAnsi="宋体" w:cs="宋体"/>
          <w:b/>
          <w:bCs/>
          <w:color w:val="auto"/>
          <w:kern w:val="0"/>
          <w:sz w:val="24"/>
          <w:szCs w:val="24"/>
          <w:lang w:val="en-US" w:eastAsia="zh-CN"/>
        </w:rPr>
        <w:t>本次服务费根据项目完成进度支付。双方签定合同后向供应商支付合同总价款的40%，供应商完成所有工作内容，最终成果经采购人及相关部门验收合格，采购人付清剩余合同价款。</w:t>
      </w:r>
    </w:p>
    <w:p w14:paraId="11696B64">
      <w:pPr>
        <w:keepNext w:val="0"/>
        <w:keepLines w:val="0"/>
        <w:pageBreakBefore w:val="0"/>
        <w:widowControl w:val="0"/>
        <w:numPr>
          <w:ilvl w:val="0"/>
          <w:numId w:val="1"/>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color w:val="auto"/>
          <w:kern w:val="0"/>
          <w:sz w:val="24"/>
          <w:szCs w:val="24"/>
        </w:rPr>
      </w:pPr>
      <w:r>
        <w:rPr>
          <w:rFonts w:hint="eastAsia" w:ascii="宋体" w:hAnsi="宋体" w:cs="宋体"/>
          <w:color w:val="auto"/>
          <w:kern w:val="0"/>
          <w:sz w:val="24"/>
          <w:szCs w:val="24"/>
        </w:rPr>
        <w:t>结算方式：银行转账。</w:t>
      </w:r>
    </w:p>
    <w:p w14:paraId="0769998E">
      <w:pPr>
        <w:keepNext w:val="0"/>
        <w:keepLines w:val="0"/>
        <w:pageBreakBefore w:val="0"/>
        <w:widowControl w:val="0"/>
        <w:numPr>
          <w:ilvl w:val="0"/>
          <w:numId w:val="1"/>
        </w:numPr>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ascii="宋体" w:hAnsi="宋体" w:cs="宋体"/>
          <w:color w:val="auto"/>
          <w:kern w:val="0"/>
          <w:sz w:val="24"/>
          <w:szCs w:val="24"/>
        </w:rPr>
      </w:pPr>
      <w:r>
        <w:rPr>
          <w:rFonts w:hint="eastAsia" w:ascii="宋体" w:hAnsi="宋体" w:cs="宋体"/>
          <w:color w:val="auto"/>
          <w:kern w:val="0"/>
          <w:sz w:val="24"/>
          <w:szCs w:val="24"/>
        </w:rPr>
        <w:t>支付方式：由采购人负责结算，合同签订后，供应商在接受付款前，开具等额发票给采购人。</w:t>
      </w:r>
    </w:p>
    <w:p w14:paraId="3A9F8B2F">
      <w:pPr>
        <w:spacing w:line="360" w:lineRule="auto"/>
        <w:ind w:firstLine="482" w:firstLineChars="200"/>
        <w:rPr>
          <w:rFonts w:hint="eastAsia" w:eastAsia="宋体"/>
          <w:b/>
          <w:color w:val="auto"/>
          <w:sz w:val="24"/>
          <w:szCs w:val="24"/>
          <w:lang w:eastAsia="zh-CN"/>
        </w:rPr>
      </w:pPr>
      <w:bookmarkStart w:id="7" w:name="_Toc12029"/>
      <w:r>
        <w:rPr>
          <w:rFonts w:hint="eastAsia"/>
          <w:b/>
          <w:color w:val="auto"/>
          <w:sz w:val="24"/>
          <w:szCs w:val="24"/>
        </w:rPr>
        <w:t>四、服务</w:t>
      </w:r>
      <w:bookmarkEnd w:id="7"/>
      <w:r>
        <w:rPr>
          <w:rFonts w:hint="eastAsia"/>
          <w:b/>
          <w:color w:val="auto"/>
          <w:sz w:val="24"/>
          <w:szCs w:val="24"/>
          <w:lang w:val="en-US" w:eastAsia="zh-CN"/>
        </w:rPr>
        <w:t>内容</w:t>
      </w:r>
    </w:p>
    <w:p w14:paraId="51EB3980">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color w:val="auto"/>
          <w:kern w:val="0"/>
          <w:sz w:val="24"/>
          <w:szCs w:val="24"/>
          <w:lang w:val="en-US" w:eastAsia="zh-CN"/>
        </w:rPr>
      </w:pPr>
      <w:r>
        <w:rPr>
          <w:rFonts w:hint="eastAsia" w:ascii="宋体" w:hAnsi="宋体" w:eastAsia="宋体" w:cs="宋体"/>
          <w:b w:val="0"/>
          <w:bCs w:val="0"/>
          <w:color w:val="auto"/>
          <w:kern w:val="0"/>
          <w:sz w:val="24"/>
          <w:szCs w:val="24"/>
          <w:lang w:val="en-US" w:eastAsia="zh-CN"/>
        </w:rPr>
        <w:t>（一）服务地点：</w:t>
      </w:r>
      <w:r>
        <w:rPr>
          <w:rFonts w:hint="eastAsia" w:ascii="宋体" w:hAnsi="宋体" w:cs="宋体"/>
          <w:b w:val="0"/>
          <w:bCs w:val="0"/>
          <w:color w:val="auto"/>
          <w:kern w:val="0"/>
          <w:sz w:val="24"/>
          <w:szCs w:val="24"/>
          <w:lang w:val="en-US" w:eastAsia="zh-CN"/>
        </w:rPr>
        <w:t>渭南市</w:t>
      </w:r>
      <w:r>
        <w:rPr>
          <w:rFonts w:hint="eastAsia" w:ascii="宋体" w:hAnsi="宋体" w:eastAsia="宋体" w:cs="宋体"/>
          <w:b w:val="0"/>
          <w:bCs w:val="0"/>
          <w:color w:val="auto"/>
          <w:kern w:val="0"/>
          <w:sz w:val="24"/>
          <w:szCs w:val="24"/>
          <w:lang w:val="en-US" w:eastAsia="zh-CN"/>
        </w:rPr>
        <w:t>。</w:t>
      </w:r>
    </w:p>
    <w:p w14:paraId="6027C49C">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color w:val="auto"/>
          <w:kern w:val="0"/>
          <w:sz w:val="24"/>
          <w:szCs w:val="24"/>
          <w:lang w:val="en-US" w:eastAsia="zh-CN"/>
        </w:rPr>
      </w:pPr>
      <w:r>
        <w:rPr>
          <w:rFonts w:hint="eastAsia" w:ascii="宋体" w:hAnsi="宋体" w:eastAsia="宋体" w:cs="宋体"/>
          <w:b w:val="0"/>
          <w:bCs w:val="0"/>
          <w:color w:val="auto"/>
          <w:kern w:val="0"/>
          <w:sz w:val="24"/>
          <w:szCs w:val="24"/>
          <w:lang w:val="en-US" w:eastAsia="zh-CN"/>
        </w:rPr>
        <w:t>（二）服务期：</w:t>
      </w:r>
      <w:r>
        <w:rPr>
          <w:rFonts w:hint="eastAsia" w:ascii="宋体" w:hAnsi="宋体" w:eastAsia="宋体" w:cs="宋体"/>
          <w:b w:val="0"/>
          <w:bCs w:val="0"/>
          <w:color w:val="auto"/>
          <w:kern w:val="0"/>
          <w:sz w:val="24"/>
          <w:szCs w:val="24"/>
          <w:u w:val="single"/>
          <w:lang w:val="en-US" w:eastAsia="zh-CN"/>
        </w:rPr>
        <w:t xml:space="preserve"> </w:t>
      </w:r>
      <w:r>
        <w:rPr>
          <w:rFonts w:hint="eastAsia" w:ascii="宋体" w:hAnsi="宋体" w:cs="宋体"/>
          <w:b w:val="0"/>
          <w:bCs w:val="0"/>
          <w:color w:val="auto"/>
          <w:kern w:val="0"/>
          <w:sz w:val="24"/>
          <w:szCs w:val="24"/>
          <w:u w:val="single"/>
          <w:lang w:val="en-US" w:eastAsia="zh-CN"/>
        </w:rPr>
        <w:t xml:space="preserve">      </w:t>
      </w:r>
      <w:r>
        <w:rPr>
          <w:rFonts w:hint="eastAsia" w:ascii="宋体" w:hAnsi="宋体" w:eastAsia="宋体" w:cs="宋体"/>
          <w:b w:val="0"/>
          <w:bCs w:val="0"/>
          <w:color w:val="auto"/>
          <w:kern w:val="0"/>
          <w:sz w:val="24"/>
          <w:szCs w:val="24"/>
          <w:u w:val="single"/>
          <w:lang w:val="en-US" w:eastAsia="zh-CN"/>
        </w:rPr>
        <w:t xml:space="preserve"> </w:t>
      </w:r>
      <w:r>
        <w:rPr>
          <w:rFonts w:hint="eastAsia" w:ascii="宋体" w:hAnsi="宋体" w:eastAsia="宋体" w:cs="宋体"/>
          <w:b w:val="0"/>
          <w:bCs w:val="0"/>
          <w:color w:val="auto"/>
          <w:kern w:val="0"/>
          <w:sz w:val="24"/>
          <w:szCs w:val="24"/>
          <w:lang w:val="en-US" w:eastAsia="zh-CN"/>
        </w:rPr>
        <w:t xml:space="preserve">。 </w:t>
      </w:r>
    </w:p>
    <w:p w14:paraId="086D68CE">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color w:val="auto"/>
          <w:kern w:val="0"/>
          <w:sz w:val="24"/>
          <w:szCs w:val="24"/>
          <w:lang w:val="en-US" w:eastAsia="zh-CN"/>
        </w:rPr>
      </w:pPr>
      <w:r>
        <w:rPr>
          <w:rFonts w:hint="eastAsia" w:ascii="宋体" w:hAnsi="宋体" w:eastAsia="宋体" w:cs="宋体"/>
          <w:b w:val="0"/>
          <w:bCs w:val="0"/>
          <w:color w:val="auto"/>
          <w:kern w:val="0"/>
          <w:sz w:val="24"/>
          <w:szCs w:val="24"/>
          <w:lang w:val="en-US" w:eastAsia="zh-CN"/>
        </w:rPr>
        <w:t>（三）服务内容：</w:t>
      </w:r>
    </w:p>
    <w:p w14:paraId="330F87D4">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color w:val="auto"/>
          <w:kern w:val="0"/>
          <w:sz w:val="24"/>
          <w:szCs w:val="24"/>
          <w:lang w:val="en-US" w:eastAsia="zh-CN"/>
        </w:rPr>
      </w:pPr>
      <w:r>
        <w:rPr>
          <w:rFonts w:hint="eastAsia" w:ascii="宋体" w:hAnsi="宋体" w:cs="宋体"/>
          <w:b w:val="0"/>
          <w:bCs w:val="0"/>
          <w:color w:val="auto"/>
          <w:kern w:val="0"/>
          <w:sz w:val="24"/>
          <w:szCs w:val="24"/>
          <w:lang w:val="en-US" w:eastAsia="zh-CN"/>
        </w:rPr>
        <w:t>1.</w:t>
      </w:r>
      <w:r>
        <w:rPr>
          <w:rFonts w:hint="eastAsia" w:ascii="宋体" w:hAnsi="宋体" w:eastAsia="宋体" w:cs="宋体"/>
          <w:b w:val="0"/>
          <w:bCs w:val="0"/>
          <w:color w:val="auto"/>
          <w:kern w:val="0"/>
          <w:sz w:val="24"/>
          <w:szCs w:val="24"/>
          <w:lang w:val="en-US" w:eastAsia="zh-CN"/>
        </w:rPr>
        <w:t>项目概况</w:t>
      </w:r>
      <w:r>
        <w:rPr>
          <w:rFonts w:hint="eastAsia" w:ascii="宋体" w:hAnsi="宋体" w:cs="宋体"/>
          <w:b w:val="0"/>
          <w:bCs w:val="0"/>
          <w:color w:val="auto"/>
          <w:kern w:val="0"/>
          <w:sz w:val="24"/>
          <w:szCs w:val="24"/>
          <w:lang w:val="en-US" w:eastAsia="zh-CN"/>
        </w:rPr>
        <w:t>：本项目基于资料收集及现场调研等资料信息的梳理分析，掌握渭南市生态环境保护规划基础，科学确定约束性指标和预期性指标的目标，在统筹考虑渭南市国土空间规划“三区三线”布局基础上，提出渭南市生态环境保护的战略布局思路，设置环境准入负面清单，实施不同区域的分类指导、分类管理，合理确定主要任务，提出重点区域管制目标和措施，最终形成《渭南市生态环境保护规划（2025-2035年）》。</w:t>
      </w:r>
    </w:p>
    <w:p w14:paraId="2DBA2DFA">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color w:val="auto"/>
          <w:kern w:val="0"/>
          <w:sz w:val="24"/>
          <w:szCs w:val="24"/>
          <w:lang w:val="en-US" w:eastAsia="zh-CN"/>
        </w:rPr>
      </w:pPr>
      <w:r>
        <w:rPr>
          <w:rFonts w:hint="eastAsia" w:ascii="宋体" w:hAnsi="宋体" w:cs="宋体"/>
          <w:b w:val="0"/>
          <w:bCs w:val="0"/>
          <w:color w:val="auto"/>
          <w:kern w:val="0"/>
          <w:sz w:val="24"/>
          <w:szCs w:val="24"/>
          <w:lang w:val="en-US" w:eastAsia="zh-CN"/>
        </w:rPr>
        <w:t>2.</w:t>
      </w:r>
      <w:r>
        <w:rPr>
          <w:rFonts w:hint="eastAsia" w:ascii="宋体" w:hAnsi="宋体" w:eastAsia="宋体" w:cs="宋体"/>
          <w:b w:val="0"/>
          <w:bCs w:val="0"/>
          <w:color w:val="auto"/>
          <w:kern w:val="0"/>
          <w:sz w:val="24"/>
          <w:szCs w:val="24"/>
          <w:lang w:val="en-US" w:eastAsia="zh-CN"/>
        </w:rPr>
        <w:t>成果形式及内容</w:t>
      </w:r>
    </w:p>
    <w:p w14:paraId="02F64D20">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color w:val="auto"/>
          <w:kern w:val="0"/>
          <w:sz w:val="24"/>
          <w:szCs w:val="24"/>
          <w:lang w:val="en-US" w:eastAsia="zh-CN"/>
        </w:rPr>
      </w:pPr>
      <w:r>
        <w:rPr>
          <w:rFonts w:hint="eastAsia" w:ascii="宋体" w:hAnsi="宋体" w:eastAsia="宋体" w:cs="宋体"/>
          <w:b w:val="0"/>
          <w:bCs w:val="0"/>
          <w:color w:val="auto"/>
          <w:kern w:val="0"/>
          <w:sz w:val="24"/>
          <w:szCs w:val="24"/>
          <w:lang w:val="en-US" w:eastAsia="zh-CN"/>
        </w:rPr>
        <w:t>内容：《渭南市生态环境保护规划（2025-2035年）》及相关资料等。</w:t>
      </w:r>
    </w:p>
    <w:p w14:paraId="44BE28DF">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color w:val="auto"/>
          <w:kern w:val="0"/>
          <w:sz w:val="24"/>
          <w:szCs w:val="24"/>
          <w:lang w:val="en-US" w:eastAsia="zh-CN"/>
        </w:rPr>
      </w:pPr>
      <w:r>
        <w:rPr>
          <w:rFonts w:hint="eastAsia" w:ascii="宋体" w:hAnsi="宋体" w:eastAsia="宋体" w:cs="宋体"/>
          <w:b w:val="0"/>
          <w:bCs w:val="0"/>
          <w:color w:val="auto"/>
          <w:kern w:val="0"/>
          <w:sz w:val="24"/>
          <w:szCs w:val="24"/>
          <w:lang w:val="en-US" w:eastAsia="zh-CN"/>
        </w:rPr>
        <w:t>形式：纸质版4份，电子版1份。</w:t>
      </w:r>
    </w:p>
    <w:p w14:paraId="393E5ACB">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szCs w:val="24"/>
          <w:highlight w:val="none"/>
          <w:lang w:val="en-US" w:eastAsia="zh-CN"/>
        </w:rPr>
      </w:pPr>
      <w:r>
        <w:rPr>
          <w:rFonts w:hint="eastAsia" w:ascii="宋体" w:hAnsi="宋体" w:cs="宋体"/>
          <w:b w:val="0"/>
          <w:bCs w:val="0"/>
          <w:color w:val="auto"/>
          <w:kern w:val="0"/>
          <w:sz w:val="24"/>
          <w:szCs w:val="24"/>
          <w:highlight w:val="none"/>
          <w:lang w:val="en-US" w:eastAsia="zh-CN"/>
        </w:rPr>
        <w:t>3.服务内容</w:t>
      </w:r>
    </w:p>
    <w:p w14:paraId="5E7496D0">
      <w:pPr>
        <w:widowControl/>
        <w:tabs>
          <w:tab w:val="left" w:pos="0"/>
          <w:tab w:val="left" w:pos="437"/>
          <w:tab w:val="left" w:pos="1311"/>
        </w:tabs>
        <w:adjustRightInd w:val="0"/>
        <w:snapToGrid w:val="0"/>
        <w:spacing w:line="360" w:lineRule="auto"/>
        <w:ind w:firstLine="480" w:firstLineChars="200"/>
        <w:jc w:val="left"/>
        <w:rPr>
          <w:rFonts w:hint="default" w:ascii="宋体" w:hAnsi="宋体" w:cs="宋体"/>
          <w:b w:val="0"/>
          <w:bCs w:val="0"/>
          <w:color w:val="auto"/>
          <w:kern w:val="0"/>
          <w:sz w:val="24"/>
          <w:szCs w:val="24"/>
          <w:highlight w:val="none"/>
          <w:lang w:val="en-US" w:eastAsia="zh-CN"/>
        </w:rPr>
      </w:pPr>
      <w:r>
        <w:rPr>
          <w:rFonts w:hint="default" w:ascii="宋体" w:hAnsi="宋体" w:cs="宋体"/>
          <w:b w:val="0"/>
          <w:bCs w:val="0"/>
          <w:color w:val="auto"/>
          <w:kern w:val="0"/>
          <w:sz w:val="24"/>
          <w:szCs w:val="24"/>
          <w:highlight w:val="none"/>
          <w:lang w:val="en-US" w:eastAsia="zh-CN"/>
        </w:rPr>
        <w:t>本方案将围绕环境</w:t>
      </w:r>
      <w:r>
        <w:rPr>
          <w:rFonts w:hint="eastAsia" w:ascii="宋体" w:hAnsi="宋体" w:cs="宋体"/>
          <w:b w:val="0"/>
          <w:bCs w:val="0"/>
          <w:color w:val="auto"/>
          <w:kern w:val="0"/>
          <w:sz w:val="24"/>
          <w:szCs w:val="24"/>
          <w:highlight w:val="none"/>
          <w:lang w:val="en-US" w:eastAsia="zh-CN"/>
        </w:rPr>
        <w:t>现状、</w:t>
      </w:r>
      <w:r>
        <w:rPr>
          <w:rFonts w:hint="default" w:ascii="宋体" w:hAnsi="宋体" w:cs="宋体"/>
          <w:b w:val="0"/>
          <w:bCs w:val="0"/>
          <w:color w:val="auto"/>
          <w:kern w:val="0"/>
          <w:sz w:val="24"/>
          <w:szCs w:val="24"/>
          <w:highlight w:val="none"/>
          <w:lang w:val="en-US" w:eastAsia="zh-CN"/>
        </w:rPr>
        <w:t>生态保护修复</w:t>
      </w:r>
      <w:r>
        <w:rPr>
          <w:rFonts w:hint="eastAsia" w:ascii="宋体" w:hAnsi="宋体" w:cs="宋体"/>
          <w:b w:val="0"/>
          <w:bCs w:val="0"/>
          <w:color w:val="auto"/>
          <w:kern w:val="0"/>
          <w:sz w:val="24"/>
          <w:szCs w:val="24"/>
          <w:highlight w:val="none"/>
          <w:lang w:val="en-US" w:eastAsia="zh-CN"/>
        </w:rPr>
        <w:t>、</w:t>
      </w:r>
      <w:r>
        <w:rPr>
          <w:rFonts w:hint="default" w:ascii="宋体" w:hAnsi="宋体" w:cs="宋体"/>
          <w:b w:val="0"/>
          <w:bCs w:val="0"/>
          <w:color w:val="auto"/>
          <w:kern w:val="0"/>
          <w:sz w:val="24"/>
          <w:szCs w:val="24"/>
          <w:highlight w:val="none"/>
          <w:lang w:val="en-US" w:eastAsia="zh-CN"/>
        </w:rPr>
        <w:t>产业发展与转型</w:t>
      </w:r>
      <w:r>
        <w:rPr>
          <w:rFonts w:hint="eastAsia" w:ascii="宋体" w:hAnsi="宋体" w:cs="宋体"/>
          <w:b w:val="0"/>
          <w:bCs w:val="0"/>
          <w:color w:val="auto"/>
          <w:kern w:val="0"/>
          <w:sz w:val="24"/>
          <w:szCs w:val="24"/>
          <w:highlight w:val="none"/>
          <w:lang w:val="en-US" w:eastAsia="zh-CN"/>
        </w:rPr>
        <w:t>、</w:t>
      </w:r>
      <w:r>
        <w:rPr>
          <w:rFonts w:hint="default" w:ascii="宋体" w:hAnsi="宋体" w:cs="宋体"/>
          <w:b w:val="0"/>
          <w:bCs w:val="0"/>
          <w:color w:val="auto"/>
          <w:kern w:val="0"/>
          <w:sz w:val="24"/>
          <w:szCs w:val="24"/>
          <w:highlight w:val="none"/>
          <w:lang w:val="en-US" w:eastAsia="zh-CN"/>
        </w:rPr>
        <w:t>环境风险防控</w:t>
      </w:r>
      <w:r>
        <w:rPr>
          <w:rFonts w:hint="eastAsia" w:ascii="宋体" w:hAnsi="宋体" w:cs="宋体"/>
          <w:b w:val="0"/>
          <w:bCs w:val="0"/>
          <w:color w:val="auto"/>
          <w:kern w:val="0"/>
          <w:sz w:val="24"/>
          <w:szCs w:val="24"/>
          <w:highlight w:val="none"/>
          <w:lang w:val="en-US" w:eastAsia="zh-CN"/>
        </w:rPr>
        <w:t>以及</w:t>
      </w:r>
      <w:r>
        <w:rPr>
          <w:rFonts w:hint="default" w:ascii="宋体" w:hAnsi="宋体" w:cs="宋体"/>
          <w:b w:val="0"/>
          <w:bCs w:val="0"/>
          <w:color w:val="auto"/>
          <w:kern w:val="0"/>
          <w:sz w:val="24"/>
          <w:szCs w:val="24"/>
          <w:highlight w:val="none"/>
          <w:lang w:val="en-US" w:eastAsia="zh-CN"/>
        </w:rPr>
        <w:t>现代环境治理体系建设五项核心任务开展工作</w:t>
      </w:r>
      <w:r>
        <w:rPr>
          <w:rFonts w:hint="eastAsia" w:ascii="宋体" w:hAnsi="宋体" w:cs="宋体"/>
          <w:b w:val="0"/>
          <w:bCs w:val="0"/>
          <w:color w:val="auto"/>
          <w:kern w:val="0"/>
          <w:sz w:val="24"/>
          <w:szCs w:val="24"/>
          <w:highlight w:val="none"/>
          <w:lang w:val="en-US" w:eastAsia="zh-CN"/>
        </w:rPr>
        <w:t>。</w:t>
      </w:r>
    </w:p>
    <w:p w14:paraId="04BC7FA9">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color w:val="auto"/>
          <w:kern w:val="0"/>
          <w:sz w:val="24"/>
          <w:szCs w:val="24"/>
          <w:lang w:val="en-US" w:eastAsia="zh-CN"/>
        </w:rPr>
      </w:pPr>
      <w:r>
        <w:rPr>
          <w:rFonts w:hint="eastAsia" w:ascii="宋体" w:hAnsi="宋体" w:cs="宋体"/>
          <w:b/>
          <w:bCs/>
          <w:color w:val="auto"/>
          <w:kern w:val="0"/>
          <w:sz w:val="24"/>
          <w:szCs w:val="24"/>
          <w:lang w:val="en-US" w:eastAsia="zh-CN"/>
        </w:rPr>
        <w:t>五 服务原则</w:t>
      </w:r>
    </w:p>
    <w:p w14:paraId="4081E45B">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szCs w:val="24"/>
          <w:lang w:val="en-US" w:eastAsia="zh-CN"/>
        </w:rPr>
      </w:pPr>
      <w:r>
        <w:rPr>
          <w:rFonts w:hint="eastAsia" w:ascii="宋体" w:hAnsi="宋体" w:cs="宋体"/>
          <w:b w:val="0"/>
          <w:bCs w:val="0"/>
          <w:color w:val="auto"/>
          <w:kern w:val="0"/>
          <w:sz w:val="24"/>
          <w:szCs w:val="24"/>
          <w:lang w:val="en-US" w:eastAsia="zh-CN"/>
        </w:rPr>
        <w:t>1.坚持新发展理念引领</w:t>
      </w:r>
    </w:p>
    <w:p w14:paraId="7DA790DE">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szCs w:val="24"/>
          <w:lang w:val="en-US" w:eastAsia="zh-CN"/>
        </w:rPr>
      </w:pPr>
      <w:r>
        <w:rPr>
          <w:rFonts w:hint="eastAsia" w:ascii="宋体" w:hAnsi="宋体" w:cs="宋体"/>
          <w:b w:val="0"/>
          <w:bCs w:val="0"/>
          <w:color w:val="auto"/>
          <w:kern w:val="0"/>
          <w:sz w:val="24"/>
          <w:szCs w:val="24"/>
          <w:lang w:val="en-US" w:eastAsia="zh-CN"/>
        </w:rPr>
        <w:t>把新发展理念贯穿发展全过程和各领域，积极融入新发展格局，充分发挥生态环境保护对经济发展的优化调整作用，保持战略定力，坚持走生态优先、绿色发展之路，深入实施可持续发展战略，加快推进碳达峰、碳中和，以生态环境高水平保护推进经济高质量发展。</w:t>
      </w:r>
    </w:p>
    <w:p w14:paraId="69A78AAF">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szCs w:val="24"/>
          <w:lang w:val="en-US" w:eastAsia="zh-CN"/>
        </w:rPr>
      </w:pPr>
      <w:r>
        <w:rPr>
          <w:rFonts w:hint="eastAsia" w:ascii="宋体" w:hAnsi="宋体" w:cs="宋体"/>
          <w:b w:val="0"/>
          <w:bCs w:val="0"/>
          <w:color w:val="auto"/>
          <w:kern w:val="0"/>
          <w:sz w:val="24"/>
          <w:szCs w:val="24"/>
          <w:lang w:val="en-US" w:eastAsia="zh-CN"/>
        </w:rPr>
        <w:t>2.坚持质量改善为核心</w:t>
      </w:r>
    </w:p>
    <w:p w14:paraId="312F7EB8">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szCs w:val="24"/>
          <w:lang w:val="en-US" w:eastAsia="zh-CN"/>
        </w:rPr>
      </w:pPr>
      <w:r>
        <w:rPr>
          <w:rFonts w:hint="eastAsia" w:ascii="宋体" w:hAnsi="宋体" w:cs="宋体"/>
          <w:b w:val="0"/>
          <w:bCs w:val="0"/>
          <w:color w:val="auto"/>
          <w:kern w:val="0"/>
          <w:sz w:val="24"/>
          <w:szCs w:val="24"/>
          <w:lang w:val="en-US" w:eastAsia="zh-CN"/>
        </w:rPr>
        <w:t>聚焦生态环境保护，强化环境治理、生态修复、应对气候变化相统筹，着力解决人民群众身边的生态环境问题。以生态环境质量改善倒逼污染物减排和结构调整，加强山水林田湖草塬一体化保护和修复，更加注重综合治理、系统治理、源头治理，强化多污染物协同控制和区域协同治理，坚持减污增容并重，推动生态环境质量持续改善,不断增强人民群众对生态环境改善的获得感、幸福感、安全感。</w:t>
      </w:r>
    </w:p>
    <w:p w14:paraId="0C037E66">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szCs w:val="24"/>
          <w:lang w:val="en-US" w:eastAsia="zh-CN"/>
        </w:rPr>
      </w:pPr>
      <w:r>
        <w:rPr>
          <w:rFonts w:hint="eastAsia" w:ascii="宋体" w:hAnsi="宋体" w:cs="宋体"/>
          <w:b w:val="0"/>
          <w:bCs w:val="0"/>
          <w:color w:val="auto"/>
          <w:kern w:val="0"/>
          <w:sz w:val="24"/>
          <w:szCs w:val="24"/>
          <w:lang w:val="en-US" w:eastAsia="zh-CN"/>
        </w:rPr>
        <w:t>3.坚持科学评估，切实落地</w:t>
      </w:r>
    </w:p>
    <w:p w14:paraId="46229B95">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szCs w:val="24"/>
          <w:lang w:val="en-US" w:eastAsia="zh-CN"/>
        </w:rPr>
      </w:pPr>
      <w:r>
        <w:rPr>
          <w:rFonts w:hint="eastAsia" w:ascii="宋体" w:hAnsi="宋体" w:cs="宋体"/>
          <w:b w:val="0"/>
          <w:bCs w:val="0"/>
          <w:color w:val="auto"/>
          <w:kern w:val="0"/>
          <w:sz w:val="24"/>
          <w:szCs w:val="24"/>
          <w:lang w:val="en-US" w:eastAsia="zh-CN"/>
        </w:rPr>
        <w:t>以构建国家和区域生态安全格局为目标，尊重自然规律，在资源环境承载能力和国土空间开发适宜性评价基础上，统筹考虑自然生态整体性和系统性，</w:t>
      </w:r>
      <w:r>
        <w:rPr>
          <w:rFonts w:hint="eastAsia" w:ascii="宋体" w:hAnsi="宋体" w:cs="宋体"/>
          <w:b w:val="0"/>
          <w:bCs w:val="0"/>
          <w:color w:val="auto"/>
          <w:kern w:val="0"/>
          <w:sz w:val="24"/>
          <w:szCs w:val="24"/>
          <w:highlight w:val="none"/>
          <w:lang w:val="en-US" w:eastAsia="zh-CN"/>
        </w:rPr>
        <w:t>根据划分的</w:t>
      </w:r>
      <w:r>
        <w:rPr>
          <w:rFonts w:hint="eastAsia" w:ascii="宋体" w:hAnsi="宋体" w:cs="宋体"/>
          <w:b w:val="0"/>
          <w:bCs w:val="0"/>
          <w:color w:val="auto"/>
          <w:kern w:val="0"/>
          <w:sz w:val="24"/>
          <w:szCs w:val="24"/>
          <w:lang w:val="en-US" w:eastAsia="zh-CN"/>
        </w:rPr>
        <w:t>渭南市生态空间分区，落实到国土空间，系统构建区域生态安全格局。</w:t>
      </w:r>
    </w:p>
    <w:p w14:paraId="0D838800">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val="0"/>
          <w:color w:val="auto"/>
          <w:kern w:val="0"/>
          <w:sz w:val="24"/>
          <w:szCs w:val="24"/>
          <w:lang w:val="en-US" w:eastAsia="zh-CN"/>
        </w:rPr>
      </w:pPr>
      <w:r>
        <w:rPr>
          <w:rFonts w:hint="eastAsia" w:ascii="宋体" w:hAnsi="宋体" w:cs="宋体"/>
          <w:b w:val="0"/>
          <w:bCs w:val="0"/>
          <w:color w:val="auto"/>
          <w:kern w:val="0"/>
          <w:sz w:val="24"/>
          <w:szCs w:val="24"/>
          <w:lang w:val="en-US" w:eastAsia="zh-CN"/>
        </w:rPr>
        <w:t>4.坚持统筹推进，分类管控</w:t>
      </w:r>
    </w:p>
    <w:p w14:paraId="0D0D0841">
      <w:pPr>
        <w:widowControl/>
        <w:tabs>
          <w:tab w:val="left" w:pos="0"/>
          <w:tab w:val="left" w:pos="437"/>
          <w:tab w:val="left" w:pos="1311"/>
        </w:tabs>
        <w:adjustRightInd w:val="0"/>
        <w:snapToGrid w:val="0"/>
        <w:spacing w:line="360" w:lineRule="auto"/>
        <w:ind w:firstLine="480" w:firstLineChars="200"/>
        <w:jc w:val="left"/>
        <w:rPr>
          <w:rFonts w:hint="default" w:ascii="宋体" w:hAnsi="宋体" w:eastAsia="宋体" w:cs="宋体"/>
          <w:b w:val="0"/>
          <w:bCs w:val="0"/>
          <w:color w:val="auto"/>
          <w:kern w:val="0"/>
          <w:sz w:val="24"/>
          <w:szCs w:val="24"/>
          <w:lang w:val="en-US" w:eastAsia="zh-CN"/>
        </w:rPr>
      </w:pPr>
      <w:r>
        <w:rPr>
          <w:rFonts w:hint="eastAsia" w:ascii="宋体" w:hAnsi="宋体" w:cs="宋体"/>
          <w:b w:val="0"/>
          <w:bCs w:val="0"/>
          <w:color w:val="auto"/>
          <w:kern w:val="0"/>
          <w:sz w:val="24"/>
          <w:szCs w:val="24"/>
          <w:lang w:val="en-US" w:eastAsia="zh-CN"/>
        </w:rPr>
        <w:t>建立协调有序的工作机制，强化部门联动，上下结合、区域协调，根据各区县不同的自然资源禀赋和经济社会发展实际，建立健全分类管控机制，切实保护重要生态空间。</w:t>
      </w:r>
    </w:p>
    <w:p w14:paraId="685E15A3">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color w:val="auto"/>
          <w:kern w:val="0"/>
          <w:sz w:val="24"/>
          <w:szCs w:val="24"/>
        </w:rPr>
      </w:pPr>
      <w:r>
        <w:rPr>
          <w:rFonts w:hint="eastAsia" w:ascii="宋体" w:hAnsi="宋体" w:cs="宋体"/>
          <w:b/>
          <w:bCs/>
          <w:color w:val="auto"/>
          <w:kern w:val="0"/>
          <w:sz w:val="24"/>
          <w:szCs w:val="24"/>
          <w:lang w:val="en-US" w:eastAsia="zh-CN"/>
        </w:rPr>
        <w:t>六</w:t>
      </w:r>
      <w:r>
        <w:rPr>
          <w:rFonts w:hint="eastAsia" w:ascii="宋体" w:hAnsi="宋体" w:cs="宋体"/>
          <w:b/>
          <w:bCs/>
          <w:color w:val="auto"/>
          <w:kern w:val="0"/>
          <w:sz w:val="24"/>
          <w:szCs w:val="24"/>
        </w:rPr>
        <w:t>、技术资料</w:t>
      </w:r>
    </w:p>
    <w:p w14:paraId="2AC25C4E">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b w:val="0"/>
          <w:bCs w:val="0"/>
          <w:color w:val="auto"/>
          <w:kern w:val="0"/>
          <w:sz w:val="24"/>
          <w:szCs w:val="24"/>
          <w:lang w:val="en-US" w:eastAsia="zh-CN"/>
        </w:rPr>
      </w:pPr>
      <w:r>
        <w:rPr>
          <w:rFonts w:hint="eastAsia" w:ascii="宋体" w:hAnsi="宋体" w:eastAsia="宋体" w:cs="宋体"/>
          <w:b w:val="0"/>
          <w:bCs w:val="0"/>
          <w:color w:val="auto"/>
          <w:kern w:val="0"/>
          <w:sz w:val="24"/>
          <w:szCs w:val="24"/>
          <w:lang w:val="en-US" w:eastAsia="zh-CN"/>
        </w:rPr>
        <w:t>1.</w:t>
      </w:r>
      <w:bookmarkStart w:id="8" w:name="_Hlk73203142"/>
      <w:r>
        <w:rPr>
          <w:rFonts w:hint="eastAsia" w:ascii="宋体" w:hAnsi="宋体" w:eastAsia="宋体" w:cs="宋体"/>
          <w:b w:val="0"/>
          <w:bCs w:val="0"/>
          <w:color w:val="auto"/>
          <w:kern w:val="0"/>
          <w:sz w:val="24"/>
          <w:szCs w:val="24"/>
          <w:lang w:val="en-US" w:eastAsia="zh-CN"/>
        </w:rPr>
        <w:t>供应商</w:t>
      </w:r>
      <w:bookmarkEnd w:id="8"/>
      <w:r>
        <w:rPr>
          <w:rFonts w:hint="eastAsia" w:ascii="宋体" w:hAnsi="宋体" w:eastAsia="宋体" w:cs="宋体"/>
          <w:b w:val="0"/>
          <w:bCs w:val="0"/>
          <w:color w:val="auto"/>
          <w:kern w:val="0"/>
          <w:sz w:val="24"/>
          <w:szCs w:val="24"/>
          <w:lang w:val="en-US" w:eastAsia="zh-CN"/>
        </w:rPr>
        <w:t>应按磋商文件规定的时间向采购人提供完成项目的有关服务资料。</w:t>
      </w:r>
    </w:p>
    <w:p w14:paraId="539C050F">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szCs w:val="24"/>
        </w:rPr>
      </w:pPr>
      <w:r>
        <w:rPr>
          <w:rFonts w:hint="eastAsia" w:ascii="宋体" w:hAnsi="宋体" w:eastAsia="宋体" w:cs="宋体"/>
          <w:b w:val="0"/>
          <w:bCs w:val="0"/>
          <w:color w:val="auto"/>
          <w:kern w:val="0"/>
          <w:sz w:val="24"/>
          <w:szCs w:val="24"/>
          <w:lang w:val="en-US" w:eastAsia="zh-CN"/>
        </w:rPr>
        <w:t>2.没有采购人事先书面同意，供应商不得将由采购人提供的有关合同或任何合同条文、规格、计划或资料提供给与履行本合同无关的任何其他人。即使向履行本合同有关的人员提供，也应注意保密并限于履行合同的必需范围。</w:t>
      </w:r>
    </w:p>
    <w:p w14:paraId="08D9B015">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color w:val="auto"/>
          <w:kern w:val="0"/>
          <w:sz w:val="24"/>
          <w:szCs w:val="24"/>
        </w:rPr>
      </w:pPr>
      <w:r>
        <w:rPr>
          <w:rFonts w:hint="eastAsia" w:ascii="宋体" w:hAnsi="宋体" w:cs="宋体"/>
          <w:b/>
          <w:color w:val="auto"/>
          <w:kern w:val="0"/>
          <w:sz w:val="24"/>
          <w:szCs w:val="24"/>
          <w:lang w:val="en-US" w:eastAsia="zh-CN"/>
        </w:rPr>
        <w:t>七</w:t>
      </w:r>
      <w:r>
        <w:rPr>
          <w:rFonts w:hint="eastAsia" w:ascii="宋体" w:hAnsi="宋体" w:cs="宋体"/>
          <w:b/>
          <w:color w:val="auto"/>
          <w:kern w:val="0"/>
          <w:sz w:val="24"/>
          <w:szCs w:val="24"/>
        </w:rPr>
        <w:t>、技术情报的保密</w:t>
      </w:r>
    </w:p>
    <w:p w14:paraId="0A0CAA91">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color w:val="auto"/>
          <w:kern w:val="0"/>
          <w:sz w:val="24"/>
          <w:szCs w:val="24"/>
        </w:rPr>
      </w:pPr>
      <w:r>
        <w:rPr>
          <w:rFonts w:hint="eastAsia" w:ascii="宋体" w:hAnsi="宋体" w:cs="宋体"/>
          <w:color w:val="auto"/>
          <w:kern w:val="0"/>
          <w:sz w:val="24"/>
          <w:szCs w:val="24"/>
        </w:rPr>
        <w:t>1.采购人、供应商双方商定，供应商取得的所有原始技术资料在工作结束后交还采购人，供应商不得对外泄露。</w:t>
      </w:r>
    </w:p>
    <w:p w14:paraId="49C54F38">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80" w:firstLineChars="200"/>
        <w:jc w:val="left"/>
        <w:textAlignment w:val="auto"/>
        <w:rPr>
          <w:rFonts w:hint="eastAsia" w:ascii="宋体" w:hAnsi="宋体" w:cs="宋体"/>
          <w:color w:val="auto"/>
          <w:kern w:val="0"/>
          <w:sz w:val="24"/>
          <w:szCs w:val="24"/>
        </w:rPr>
      </w:pPr>
      <w:r>
        <w:rPr>
          <w:rFonts w:hint="eastAsia" w:ascii="宋体" w:hAnsi="宋体" w:cs="宋体"/>
          <w:color w:val="auto"/>
          <w:kern w:val="0"/>
          <w:sz w:val="24"/>
          <w:szCs w:val="24"/>
        </w:rPr>
        <w:t>2.</w:t>
      </w:r>
      <w:r>
        <w:rPr>
          <w:rFonts w:hint="eastAsia" w:ascii="宋体" w:hAnsi="宋体" w:cs="宋体"/>
          <w:color w:val="auto"/>
          <w:kern w:val="0"/>
          <w:sz w:val="24"/>
          <w:szCs w:val="24"/>
          <w:lang w:val="en-US" w:eastAsia="zh-CN"/>
        </w:rPr>
        <w:t>相关</w:t>
      </w:r>
      <w:r>
        <w:rPr>
          <w:rFonts w:hint="eastAsia" w:ascii="宋体" w:hAnsi="宋体" w:cs="宋体"/>
          <w:color w:val="auto"/>
          <w:kern w:val="0"/>
          <w:sz w:val="24"/>
          <w:szCs w:val="24"/>
        </w:rPr>
        <w:t>涉及国家秘密的</w:t>
      </w:r>
      <w:r>
        <w:rPr>
          <w:rFonts w:hint="eastAsia" w:ascii="宋体" w:hAnsi="宋体" w:cs="宋体"/>
          <w:color w:val="auto"/>
          <w:kern w:val="0"/>
          <w:sz w:val="24"/>
          <w:szCs w:val="24"/>
          <w:lang w:val="en-US" w:eastAsia="zh-CN"/>
        </w:rPr>
        <w:t>资料</w:t>
      </w:r>
      <w:r>
        <w:rPr>
          <w:rFonts w:hint="eastAsia" w:ascii="宋体" w:hAnsi="宋体" w:cs="宋体"/>
          <w:color w:val="auto"/>
          <w:kern w:val="0"/>
          <w:sz w:val="24"/>
          <w:szCs w:val="24"/>
        </w:rPr>
        <w:t>，供应商应严格遵守国家《保密法》及有关保密规定，履行有关保密程序，供应商涉密人员上岗应当经过保密教育培训，掌握保密知识技能，签订保密承诺书，严格遵守保密规章制度，不得泄露国家秘密。</w:t>
      </w:r>
    </w:p>
    <w:p w14:paraId="0FDA781A">
      <w:pPr>
        <w:widowControl/>
        <w:tabs>
          <w:tab w:val="left" w:pos="0"/>
          <w:tab w:val="left" w:pos="437"/>
          <w:tab w:val="left" w:pos="1311"/>
        </w:tabs>
        <w:adjustRightInd w:val="0"/>
        <w:snapToGrid w:val="0"/>
        <w:spacing w:line="360" w:lineRule="auto"/>
        <w:ind w:firstLine="482" w:firstLineChars="200"/>
        <w:jc w:val="left"/>
        <w:rPr>
          <w:rFonts w:ascii="宋体" w:hAnsi="宋体" w:cs="宋体"/>
          <w:b/>
          <w:color w:val="auto"/>
          <w:kern w:val="0"/>
          <w:sz w:val="24"/>
          <w:szCs w:val="24"/>
          <w:highlight w:val="none"/>
        </w:rPr>
      </w:pPr>
      <w:bookmarkStart w:id="9" w:name="_Toc28452"/>
      <w:r>
        <w:rPr>
          <w:rFonts w:hint="eastAsia" w:ascii="宋体" w:hAnsi="宋体" w:cs="宋体"/>
          <w:b/>
          <w:color w:val="auto"/>
          <w:kern w:val="0"/>
          <w:sz w:val="24"/>
          <w:szCs w:val="24"/>
          <w:highlight w:val="none"/>
          <w:lang w:val="en-US" w:eastAsia="zh-CN"/>
        </w:rPr>
        <w:t>八</w:t>
      </w:r>
      <w:r>
        <w:rPr>
          <w:rFonts w:hint="eastAsia" w:ascii="宋体" w:hAnsi="宋体" w:cs="宋体"/>
          <w:b/>
          <w:color w:val="auto"/>
          <w:kern w:val="0"/>
          <w:sz w:val="24"/>
          <w:szCs w:val="24"/>
          <w:highlight w:val="none"/>
        </w:rPr>
        <w:t>、采购人的权利及义务</w:t>
      </w:r>
      <w:bookmarkEnd w:id="9"/>
    </w:p>
    <w:p w14:paraId="11B8B2A1">
      <w:pPr>
        <w:widowControl/>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（一）采购人的权利</w:t>
      </w:r>
    </w:p>
    <w:p w14:paraId="3CC7194F">
      <w:pPr>
        <w:widowControl/>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szCs w:val="24"/>
          <w:highlight w:val="none"/>
        </w:rPr>
      </w:pPr>
      <w:r>
        <w:rPr>
          <w:rFonts w:ascii="宋体" w:hAnsi="宋体" w:cs="宋体"/>
          <w:color w:val="auto"/>
          <w:kern w:val="0"/>
          <w:sz w:val="24"/>
          <w:szCs w:val="24"/>
          <w:highlight w:val="none"/>
        </w:rPr>
        <w:t>1</w:t>
      </w:r>
      <w:r>
        <w:rPr>
          <w:rFonts w:hint="eastAsia" w:ascii="宋体" w:hAnsi="宋体" w:cs="宋体"/>
          <w:color w:val="auto"/>
          <w:kern w:val="0"/>
          <w:sz w:val="24"/>
          <w:szCs w:val="24"/>
          <w:highlight w:val="none"/>
        </w:rPr>
        <w:t>．采购人有权向供应商询问工作进展情况及相关的内容。</w:t>
      </w:r>
    </w:p>
    <w:p w14:paraId="22818358">
      <w:pPr>
        <w:widowControl/>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szCs w:val="24"/>
          <w:highlight w:val="none"/>
        </w:rPr>
      </w:pPr>
      <w:r>
        <w:rPr>
          <w:rFonts w:ascii="宋体" w:hAnsi="宋体" w:cs="宋体"/>
          <w:color w:val="auto"/>
          <w:kern w:val="0"/>
          <w:sz w:val="24"/>
          <w:szCs w:val="24"/>
          <w:highlight w:val="none"/>
        </w:rPr>
        <w:t>2</w:t>
      </w:r>
      <w:r>
        <w:rPr>
          <w:rFonts w:hint="eastAsia" w:ascii="宋体" w:hAnsi="宋体" w:cs="宋体"/>
          <w:color w:val="auto"/>
          <w:kern w:val="0"/>
          <w:sz w:val="24"/>
          <w:szCs w:val="24"/>
          <w:highlight w:val="none"/>
        </w:rPr>
        <w:t>．采购人有权阐述对具体问题的意见和建议。</w:t>
      </w:r>
    </w:p>
    <w:p w14:paraId="122A45D7">
      <w:pPr>
        <w:widowControl/>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szCs w:val="24"/>
          <w:highlight w:val="none"/>
        </w:rPr>
      </w:pPr>
      <w:r>
        <w:rPr>
          <w:rFonts w:ascii="宋体" w:hAnsi="宋体" w:cs="宋体"/>
          <w:color w:val="auto"/>
          <w:kern w:val="0"/>
          <w:sz w:val="24"/>
          <w:szCs w:val="24"/>
          <w:highlight w:val="none"/>
        </w:rPr>
        <w:t xml:space="preserve">3. </w:t>
      </w:r>
      <w:r>
        <w:rPr>
          <w:rFonts w:hint="eastAsia" w:ascii="宋体" w:hAnsi="宋体" w:cs="宋体"/>
          <w:color w:val="auto"/>
          <w:kern w:val="0"/>
          <w:sz w:val="24"/>
          <w:szCs w:val="24"/>
          <w:highlight w:val="none"/>
        </w:rPr>
        <w:t>采购人有权根据项目的具体情况，要求供应商按期到项目现场解决争议。</w:t>
      </w:r>
    </w:p>
    <w:p w14:paraId="158234CF">
      <w:pPr>
        <w:widowControl/>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szCs w:val="24"/>
          <w:highlight w:val="none"/>
        </w:rPr>
      </w:pPr>
      <w:r>
        <w:rPr>
          <w:rFonts w:ascii="宋体" w:hAnsi="宋体" w:cs="宋体"/>
          <w:color w:val="auto"/>
          <w:kern w:val="0"/>
          <w:sz w:val="24"/>
          <w:szCs w:val="24"/>
          <w:highlight w:val="none"/>
        </w:rPr>
        <w:t>4</w:t>
      </w:r>
      <w:r>
        <w:rPr>
          <w:rFonts w:hint="eastAsia" w:ascii="宋体" w:hAnsi="宋体" w:cs="宋体"/>
          <w:color w:val="auto"/>
          <w:kern w:val="0"/>
          <w:sz w:val="24"/>
          <w:szCs w:val="24"/>
          <w:highlight w:val="none"/>
        </w:rPr>
        <w:t>．当采购人认定供应商专业人员不按合同履行其职责，或与第三人串通给采购人造成经济损失的，采购人有权要求更换专业人员，直至终止合同并要求供应商承担相应的赔偿责任。</w:t>
      </w:r>
    </w:p>
    <w:p w14:paraId="69B90265">
      <w:pPr>
        <w:widowControl/>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szCs w:val="24"/>
          <w:highlight w:val="none"/>
        </w:rPr>
      </w:pPr>
      <w:r>
        <w:rPr>
          <w:rFonts w:hint="eastAsia" w:ascii="宋体" w:hAnsi="宋体" w:cs="宋体"/>
          <w:color w:val="auto"/>
          <w:kern w:val="0"/>
          <w:sz w:val="24"/>
          <w:szCs w:val="24"/>
          <w:highlight w:val="none"/>
        </w:rPr>
        <w:t>（二）采购人的义务</w:t>
      </w:r>
    </w:p>
    <w:p w14:paraId="4F8E755C">
      <w:pPr>
        <w:widowControl/>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szCs w:val="24"/>
          <w:highlight w:val="none"/>
        </w:rPr>
      </w:pPr>
      <w:r>
        <w:rPr>
          <w:rFonts w:ascii="宋体" w:hAnsi="宋体" w:cs="宋体"/>
          <w:color w:val="auto"/>
          <w:kern w:val="0"/>
          <w:sz w:val="24"/>
          <w:szCs w:val="24"/>
          <w:highlight w:val="none"/>
        </w:rPr>
        <w:t>1</w:t>
      </w:r>
      <w:r>
        <w:rPr>
          <w:rFonts w:hint="eastAsia" w:ascii="宋体" w:hAnsi="宋体" w:cs="宋体"/>
          <w:color w:val="auto"/>
          <w:kern w:val="0"/>
          <w:sz w:val="24"/>
          <w:szCs w:val="24"/>
          <w:highlight w:val="none"/>
        </w:rPr>
        <w:t>．采购人应当在约定的时间内，向供应商提供与本项目实施有关的资料。</w:t>
      </w:r>
    </w:p>
    <w:p w14:paraId="3B1DE80B">
      <w:pPr>
        <w:widowControl/>
        <w:tabs>
          <w:tab w:val="left" w:pos="0"/>
          <w:tab w:val="left" w:pos="437"/>
          <w:tab w:val="left" w:pos="1311"/>
        </w:tabs>
        <w:adjustRightInd w:val="0"/>
        <w:snapToGrid w:val="0"/>
        <w:spacing w:line="360" w:lineRule="auto"/>
        <w:ind w:firstLine="482" w:firstLineChars="200"/>
        <w:jc w:val="left"/>
        <w:rPr>
          <w:rFonts w:ascii="宋体" w:hAnsi="宋体" w:cs="宋体"/>
          <w:b/>
          <w:color w:val="auto"/>
          <w:kern w:val="0"/>
          <w:sz w:val="24"/>
          <w:szCs w:val="24"/>
        </w:rPr>
      </w:pPr>
      <w:bookmarkStart w:id="10" w:name="_Toc14300"/>
      <w:r>
        <w:rPr>
          <w:rFonts w:hint="eastAsia" w:ascii="宋体" w:hAnsi="宋体" w:cs="宋体"/>
          <w:b/>
          <w:color w:val="auto"/>
          <w:kern w:val="0"/>
          <w:sz w:val="24"/>
          <w:szCs w:val="24"/>
          <w:highlight w:val="none"/>
          <w:lang w:val="en-US" w:eastAsia="zh-CN"/>
        </w:rPr>
        <w:t>九</w:t>
      </w:r>
      <w:r>
        <w:rPr>
          <w:rFonts w:hint="eastAsia" w:ascii="宋体" w:hAnsi="宋体" w:cs="宋体"/>
          <w:b/>
          <w:color w:val="auto"/>
          <w:kern w:val="0"/>
          <w:sz w:val="24"/>
          <w:szCs w:val="24"/>
          <w:highlight w:val="none"/>
        </w:rPr>
        <w:t>、供应商的</w:t>
      </w:r>
      <w:r>
        <w:rPr>
          <w:rFonts w:hint="eastAsia" w:ascii="宋体" w:hAnsi="宋体" w:cs="宋体"/>
          <w:b/>
          <w:color w:val="auto"/>
          <w:kern w:val="0"/>
          <w:sz w:val="24"/>
          <w:szCs w:val="24"/>
        </w:rPr>
        <w:t>权利及义务</w:t>
      </w:r>
      <w:bookmarkEnd w:id="10"/>
    </w:p>
    <w:p w14:paraId="13BE847D">
      <w:pPr>
        <w:widowControl/>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（一）供应商的权利</w:t>
      </w:r>
    </w:p>
    <w:p w14:paraId="64F9FCFF">
      <w:pPr>
        <w:widowControl/>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szCs w:val="24"/>
        </w:rPr>
      </w:pPr>
      <w:r>
        <w:rPr>
          <w:rFonts w:ascii="宋体" w:hAnsi="宋体" w:cs="宋体"/>
          <w:color w:val="auto"/>
          <w:kern w:val="0"/>
          <w:sz w:val="24"/>
          <w:szCs w:val="24"/>
        </w:rPr>
        <w:t>1.</w:t>
      </w:r>
      <w:r>
        <w:rPr>
          <w:rFonts w:hint="eastAsia" w:ascii="宋体" w:hAnsi="宋体" w:cs="宋体"/>
          <w:color w:val="auto"/>
          <w:kern w:val="0"/>
          <w:sz w:val="24"/>
          <w:szCs w:val="24"/>
        </w:rPr>
        <w:t>供应商在项目实施过程中，如采购人提供的资料不明确时可向采购人提出书面报告。</w:t>
      </w:r>
    </w:p>
    <w:p w14:paraId="262059AD">
      <w:pPr>
        <w:widowControl/>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szCs w:val="24"/>
        </w:rPr>
      </w:pPr>
      <w:r>
        <w:rPr>
          <w:rFonts w:ascii="宋体" w:hAnsi="宋体" w:cs="宋体"/>
          <w:color w:val="auto"/>
          <w:kern w:val="0"/>
          <w:sz w:val="24"/>
          <w:szCs w:val="24"/>
        </w:rPr>
        <w:t>2</w:t>
      </w:r>
      <w:r>
        <w:rPr>
          <w:rFonts w:hint="eastAsia" w:ascii="宋体" w:hAnsi="宋体" w:cs="宋体"/>
          <w:color w:val="auto"/>
          <w:kern w:val="0"/>
          <w:sz w:val="24"/>
          <w:szCs w:val="24"/>
        </w:rPr>
        <w:t>.供应商在项目实施过程中，有到项目现场勘察的权利。</w:t>
      </w:r>
    </w:p>
    <w:p w14:paraId="3B16A11E">
      <w:pPr>
        <w:widowControl/>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（二）供应商的义务</w:t>
      </w:r>
    </w:p>
    <w:p w14:paraId="2E170306">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szCs w:val="24"/>
        </w:rPr>
      </w:pPr>
      <w:bookmarkStart w:id="11" w:name="_Toc534"/>
      <w:r>
        <w:rPr>
          <w:rFonts w:hint="eastAsia" w:ascii="宋体" w:hAnsi="宋体" w:eastAsia="宋体" w:cs="宋体"/>
          <w:color w:val="auto"/>
          <w:kern w:val="0"/>
          <w:sz w:val="24"/>
          <w:szCs w:val="24"/>
        </w:rPr>
        <w:t>1．向采购人提供与本项目有关的资料，</w:t>
      </w:r>
      <w:r>
        <w:rPr>
          <w:rFonts w:hint="eastAsia" w:ascii="宋体" w:hAnsi="宋体" w:eastAsia="宋体" w:cs="宋体"/>
          <w:color w:val="auto"/>
          <w:kern w:val="0"/>
          <w:sz w:val="24"/>
          <w:szCs w:val="24"/>
          <w:lang w:val="en-US" w:eastAsia="zh-CN"/>
        </w:rPr>
        <w:t>并</w:t>
      </w:r>
      <w:r>
        <w:rPr>
          <w:rFonts w:hint="eastAsia" w:ascii="宋体" w:hAnsi="宋体" w:eastAsia="宋体" w:cs="宋体"/>
          <w:color w:val="auto"/>
          <w:kern w:val="0"/>
          <w:sz w:val="24"/>
          <w:szCs w:val="24"/>
        </w:rPr>
        <w:t>承担本</w:t>
      </w:r>
      <w:r>
        <w:rPr>
          <w:rFonts w:hint="eastAsia" w:ascii="宋体" w:hAnsi="宋体" w:eastAsia="宋体" w:cs="宋体"/>
          <w:color w:val="auto"/>
          <w:kern w:val="0"/>
          <w:sz w:val="24"/>
          <w:szCs w:val="24"/>
          <w:lang w:val="en-US" w:eastAsia="zh-CN"/>
        </w:rPr>
        <w:t>项目</w:t>
      </w:r>
      <w:r>
        <w:rPr>
          <w:rFonts w:hint="eastAsia" w:ascii="宋体" w:hAnsi="宋体" w:eastAsia="宋体" w:cs="宋体"/>
          <w:color w:val="auto"/>
          <w:kern w:val="0"/>
          <w:sz w:val="24"/>
          <w:szCs w:val="24"/>
        </w:rPr>
        <w:t>的</w:t>
      </w:r>
      <w:r>
        <w:rPr>
          <w:rFonts w:hint="eastAsia" w:ascii="宋体" w:hAnsi="宋体" w:eastAsia="宋体" w:cs="宋体"/>
          <w:color w:val="auto"/>
          <w:kern w:val="0"/>
          <w:sz w:val="24"/>
          <w:szCs w:val="24"/>
          <w:lang w:val="en-US" w:eastAsia="zh-CN"/>
        </w:rPr>
        <w:t>作业人安全保障措施</w:t>
      </w:r>
      <w:r>
        <w:rPr>
          <w:rFonts w:hint="eastAsia" w:ascii="宋体" w:hAnsi="宋体" w:eastAsia="宋体" w:cs="宋体"/>
          <w:color w:val="auto"/>
          <w:kern w:val="0"/>
          <w:sz w:val="24"/>
          <w:szCs w:val="24"/>
        </w:rPr>
        <w:t>等，并按合同约定的范围实施业务。</w:t>
      </w:r>
    </w:p>
    <w:p w14:paraId="5EFE63A5">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rPr>
        <w:t>2．供应商在履行本合同期间，向采购人提供与本项目有关的一切服务。</w:t>
      </w:r>
      <w:bookmarkStart w:id="12" w:name="_Hlk98681547"/>
    </w:p>
    <w:p w14:paraId="659CC97C">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3.成交后，供应商派驻一名项目负责人，一名技术负责人对服务过程中服务进度、服务质量、作业人员管理进行总协调，确保技术措施的落实，按时参加采购人组织的相关会议和活动，服从采购人的工作制度和工作规范。</w:t>
      </w:r>
    </w:p>
    <w:p w14:paraId="2CD50185">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lang w:val="en-US" w:eastAsia="zh-CN"/>
        </w:rPr>
        <w:t>4.成交后，供应商向采购人提供项</w:t>
      </w:r>
      <w:r>
        <w:rPr>
          <w:rFonts w:hint="eastAsia" w:ascii="宋体" w:hAnsi="宋体" w:eastAsia="宋体" w:cs="宋体"/>
          <w:color w:val="auto"/>
          <w:kern w:val="0"/>
          <w:sz w:val="24"/>
          <w:szCs w:val="24"/>
          <w:highlight w:val="none"/>
          <w:lang w:val="en-US" w:eastAsia="zh-CN"/>
        </w:rPr>
        <w:t>目</w:t>
      </w:r>
      <w:r>
        <w:rPr>
          <w:rFonts w:hint="eastAsia" w:ascii="宋体" w:hAnsi="宋体" w:cs="宋体"/>
          <w:color w:val="auto"/>
          <w:kern w:val="0"/>
          <w:sz w:val="24"/>
          <w:szCs w:val="24"/>
          <w:highlight w:val="none"/>
          <w:lang w:val="en-US" w:eastAsia="zh-CN"/>
        </w:rPr>
        <w:t>工作</w:t>
      </w:r>
      <w:r>
        <w:rPr>
          <w:rFonts w:hint="eastAsia" w:ascii="宋体" w:hAnsi="宋体" w:eastAsia="宋体" w:cs="宋体"/>
          <w:color w:val="auto"/>
          <w:kern w:val="0"/>
          <w:sz w:val="24"/>
          <w:szCs w:val="24"/>
          <w:highlight w:val="none"/>
          <w:lang w:val="en-US" w:eastAsia="zh-CN"/>
        </w:rPr>
        <w:t>计划和安全责任协议等，其内容包括管理机构的设置、各主要岗位的技术和管理员名单、资质、联系方式及</w:t>
      </w:r>
      <w:r>
        <w:rPr>
          <w:rFonts w:hint="eastAsia" w:ascii="宋体" w:hAnsi="宋体" w:cs="宋体"/>
          <w:color w:val="auto"/>
          <w:kern w:val="0"/>
          <w:sz w:val="24"/>
          <w:szCs w:val="24"/>
          <w:highlight w:val="none"/>
          <w:lang w:val="en-US" w:eastAsia="zh-CN"/>
        </w:rPr>
        <w:t>技术人员</w:t>
      </w:r>
      <w:r>
        <w:rPr>
          <w:rFonts w:hint="eastAsia" w:ascii="宋体" w:hAnsi="宋体" w:eastAsia="宋体" w:cs="宋体"/>
          <w:color w:val="auto"/>
          <w:kern w:val="0"/>
          <w:sz w:val="24"/>
          <w:szCs w:val="24"/>
          <w:highlight w:val="none"/>
          <w:lang w:val="en-US" w:eastAsia="zh-CN"/>
        </w:rPr>
        <w:t>的安排、项目实施进度安排、技术措施等状况。</w:t>
      </w:r>
    </w:p>
    <w:p w14:paraId="72287E84">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5.严格按照服务要求进行服务，服务前按项目要求筹备各项器械、材料、工具等，按技术规定进行服务。</w:t>
      </w:r>
    </w:p>
    <w:p w14:paraId="69F86B64">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6.协助采购人及时组织召开完工验收工作会议。</w:t>
      </w:r>
    </w:p>
    <w:p w14:paraId="09C64A97">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7.成交供应商向采购人提交作业过程性资料和报告，按相关要求执行。</w:t>
      </w:r>
    </w:p>
    <w:p w14:paraId="1F91A2A7">
      <w:pPr>
        <w:widowControl/>
        <w:tabs>
          <w:tab w:val="left" w:pos="0"/>
          <w:tab w:val="left" w:pos="437"/>
          <w:tab w:val="left" w:pos="1311"/>
        </w:tabs>
        <w:adjustRightInd w:val="0"/>
        <w:snapToGrid w:val="0"/>
        <w:spacing w:line="360" w:lineRule="auto"/>
        <w:ind w:firstLine="480" w:firstLineChars="200"/>
        <w:jc w:val="left"/>
        <w:rPr>
          <w:rFonts w:hint="default" w:eastAsia="宋体"/>
          <w:color w:val="auto"/>
          <w:sz w:val="24"/>
          <w:szCs w:val="24"/>
          <w:highlight w:val="none"/>
          <w:lang w:val="en-US" w:eastAsia="zh-CN"/>
        </w:rPr>
      </w:pPr>
      <w:r>
        <w:rPr>
          <w:rFonts w:hint="eastAsia" w:ascii="宋体" w:hAnsi="宋体" w:eastAsia="宋体" w:cs="宋体"/>
          <w:color w:val="auto"/>
          <w:kern w:val="0"/>
          <w:sz w:val="24"/>
          <w:szCs w:val="24"/>
          <w:highlight w:val="none"/>
          <w:lang w:val="en-US" w:eastAsia="zh-CN"/>
        </w:rPr>
        <w:t>8.有各类突发事件的应急预案和措施，有明确具体的承诺。</w:t>
      </w:r>
    </w:p>
    <w:bookmarkEnd w:id="12"/>
    <w:p w14:paraId="18F3BABB">
      <w:pPr>
        <w:widowControl/>
        <w:tabs>
          <w:tab w:val="left" w:pos="0"/>
          <w:tab w:val="left" w:pos="437"/>
          <w:tab w:val="left" w:pos="1311"/>
        </w:tabs>
        <w:adjustRightInd w:val="0"/>
        <w:snapToGrid w:val="0"/>
        <w:spacing w:line="360" w:lineRule="auto"/>
        <w:ind w:firstLine="482" w:firstLineChars="200"/>
        <w:jc w:val="left"/>
        <w:rPr>
          <w:rFonts w:ascii="宋体" w:hAnsi="宋体" w:cs="宋体"/>
          <w:b/>
          <w:color w:val="auto"/>
          <w:kern w:val="0"/>
          <w:sz w:val="24"/>
          <w:szCs w:val="24"/>
          <w:highlight w:val="none"/>
        </w:rPr>
      </w:pPr>
      <w:r>
        <w:rPr>
          <w:rFonts w:hint="eastAsia" w:ascii="宋体" w:hAnsi="宋体" w:cs="宋体"/>
          <w:b/>
          <w:color w:val="auto"/>
          <w:kern w:val="0"/>
          <w:sz w:val="24"/>
          <w:szCs w:val="24"/>
          <w:highlight w:val="none"/>
        </w:rPr>
        <w:t>十、</w:t>
      </w:r>
      <w:bookmarkEnd w:id="11"/>
      <w:r>
        <w:rPr>
          <w:rFonts w:hint="eastAsia" w:ascii="宋体" w:hAnsi="宋体" w:eastAsia="宋体" w:cs="宋体"/>
          <w:b/>
          <w:bCs/>
          <w:color w:val="auto"/>
          <w:sz w:val="24"/>
          <w:szCs w:val="24"/>
          <w:highlight w:val="none"/>
          <w:lang w:val="en-US" w:eastAsia="zh-CN"/>
        </w:rPr>
        <w:t>服务具体实施阶段要求</w:t>
      </w:r>
    </w:p>
    <w:p w14:paraId="618AB32C">
      <w:pPr>
        <w:widowControl/>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000000" w:themeColor="text1"/>
          <w:kern w:val="0"/>
          <w:sz w:val="24"/>
          <w:szCs w:val="24"/>
          <w:highlight w:val="none"/>
          <w:lang w:val="en-US" w:eastAsia="zh-CN"/>
          <w14:textFill>
            <w14:solidFill>
              <w14:schemeClr w14:val="tx1"/>
            </w14:solidFill>
          </w14:textFill>
        </w:rPr>
      </w:pPr>
      <w:bookmarkStart w:id="13" w:name="_Toc26949"/>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项目实施阶段：按照</w:t>
      </w:r>
      <w:r>
        <w:rPr>
          <w:rFonts w:hint="eastAsia" w:ascii="宋体" w:hAnsi="宋体" w:cs="宋体"/>
          <w:color w:val="000000" w:themeColor="text1"/>
          <w:kern w:val="0"/>
          <w:sz w:val="24"/>
          <w:szCs w:val="24"/>
          <w:highlight w:val="none"/>
          <w:lang w:val="en-US" w:eastAsia="zh-CN"/>
          <w14:textFill>
            <w14:solidFill>
              <w14:schemeClr w14:val="tx1"/>
            </w14:solidFill>
          </w14:textFill>
        </w:rPr>
        <w:t>采购文件及</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采购人</w:t>
      </w:r>
      <w:r>
        <w:rPr>
          <w:rFonts w:hint="eastAsia" w:ascii="宋体" w:hAnsi="宋体" w:cs="宋体"/>
          <w:color w:val="000000" w:themeColor="text1"/>
          <w:kern w:val="0"/>
          <w:sz w:val="24"/>
          <w:szCs w:val="24"/>
          <w:highlight w:val="none"/>
          <w:lang w:val="en-US" w:eastAsia="zh-CN"/>
          <w14:textFill>
            <w14:solidFill>
              <w14:schemeClr w14:val="tx1"/>
            </w14:solidFill>
          </w14:textFill>
        </w:rPr>
        <w:t>要求完成项目所有服务内容</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w:t>
      </w:r>
    </w:p>
    <w:p w14:paraId="4012DF07">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b w:val="0"/>
          <w:bCs/>
          <w:color w:val="auto"/>
          <w:sz w:val="24"/>
          <w:szCs w:val="24"/>
          <w:highlight w:val="none"/>
        </w:rPr>
      </w:pP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验收阶段：</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供应商在服务范围内按工作内容和要求制定详细的方案</w:t>
      </w:r>
      <w:r>
        <w:rPr>
          <w:rFonts w:hint="eastAsia" w:ascii="宋体" w:hAnsi="宋体" w:cs="宋体"/>
          <w:color w:val="000000" w:themeColor="text1"/>
          <w:kern w:val="0"/>
          <w:sz w:val="24"/>
          <w:szCs w:val="24"/>
          <w:highlight w:val="none"/>
          <w:lang w:val="en-US" w:eastAsia="zh-CN"/>
          <w14:textFill>
            <w14:solidFill>
              <w14:schemeClr w14:val="tx1"/>
            </w14:solidFill>
          </w14:textFill>
        </w:rPr>
        <w:t>，并将</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服务成果</w:t>
      </w:r>
      <w:r>
        <w:rPr>
          <w:rFonts w:hint="eastAsia" w:ascii="宋体" w:hAnsi="宋体" w:cs="宋体"/>
          <w:color w:val="000000" w:themeColor="text1"/>
          <w:kern w:val="0"/>
          <w:sz w:val="24"/>
          <w:szCs w:val="24"/>
          <w:highlight w:val="none"/>
          <w:lang w:val="en-US" w:eastAsia="zh-CN"/>
          <w14:textFill>
            <w14:solidFill>
              <w14:schemeClr w14:val="tx1"/>
            </w14:solidFill>
          </w14:textFill>
        </w:rPr>
        <w:t>交由采购人</w:t>
      </w:r>
      <w:r>
        <w:rPr>
          <w:rFonts w:hint="eastAsia" w:ascii="宋体" w:hAnsi="宋体" w:eastAsia="宋体" w:cs="宋体"/>
          <w:color w:val="000000" w:themeColor="text1"/>
          <w:kern w:val="0"/>
          <w:sz w:val="24"/>
          <w:szCs w:val="24"/>
          <w:highlight w:val="none"/>
          <w:lang w:val="en-US" w:eastAsia="zh-CN"/>
          <w14:textFill>
            <w14:solidFill>
              <w14:schemeClr w14:val="tx1"/>
            </w14:solidFill>
          </w14:textFill>
        </w:rPr>
        <w:t>验收。</w:t>
      </w:r>
    </w:p>
    <w:p w14:paraId="3FAD595B">
      <w:pPr>
        <w:numPr>
          <w:ilvl w:val="0"/>
          <w:numId w:val="0"/>
        </w:numPr>
        <w:autoSpaceDE w:val="0"/>
        <w:autoSpaceDN w:val="0"/>
        <w:adjustRightInd w:val="0"/>
        <w:snapToGrid w:val="0"/>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十</w:t>
      </w:r>
      <w:r>
        <w:rPr>
          <w:rFonts w:hint="eastAsia" w:ascii="宋体" w:hAnsi="宋体" w:cs="宋体"/>
          <w:b/>
          <w:color w:val="auto"/>
          <w:sz w:val="24"/>
          <w:szCs w:val="24"/>
          <w:highlight w:val="none"/>
          <w:lang w:val="en-US" w:eastAsia="zh-CN"/>
        </w:rPr>
        <w:t>一</w:t>
      </w:r>
      <w:r>
        <w:rPr>
          <w:rFonts w:hint="eastAsia" w:ascii="宋体" w:hAnsi="宋体" w:eastAsia="宋体" w:cs="宋体"/>
          <w:b/>
          <w:color w:val="auto"/>
          <w:sz w:val="24"/>
          <w:szCs w:val="24"/>
          <w:highlight w:val="none"/>
          <w:lang w:val="en-US" w:eastAsia="zh-CN"/>
        </w:rPr>
        <w:t>、</w:t>
      </w:r>
      <w:r>
        <w:rPr>
          <w:rFonts w:hint="eastAsia" w:ascii="宋体" w:hAnsi="宋体" w:eastAsia="宋体" w:cs="宋体"/>
          <w:b/>
          <w:color w:val="auto"/>
          <w:sz w:val="24"/>
          <w:szCs w:val="24"/>
          <w:highlight w:val="none"/>
        </w:rPr>
        <w:t>验收</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结算</w:t>
      </w:r>
    </w:p>
    <w:p w14:paraId="3FD37672">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1、质量标准：成果文件及配套服务达到</w:t>
      </w:r>
      <w:r>
        <w:rPr>
          <w:rFonts w:hint="eastAsia" w:ascii="宋体" w:hAnsi="宋体" w:eastAsia="宋体" w:cs="宋体"/>
          <w:bCs/>
          <w:color w:val="auto"/>
          <w:sz w:val="24"/>
          <w:szCs w:val="24"/>
          <w:highlight w:val="none"/>
          <w:lang w:eastAsia="zh-CN"/>
        </w:rPr>
        <w:t>中省</w:t>
      </w:r>
      <w:r>
        <w:rPr>
          <w:rFonts w:hint="eastAsia" w:ascii="宋体" w:hAnsi="宋体" w:eastAsia="宋体" w:cs="宋体"/>
          <w:bCs/>
          <w:color w:val="auto"/>
          <w:sz w:val="24"/>
          <w:szCs w:val="24"/>
          <w:highlight w:val="none"/>
        </w:rPr>
        <w:t>及行业</w:t>
      </w:r>
      <w:r>
        <w:rPr>
          <w:rFonts w:hint="eastAsia" w:ascii="宋体" w:hAnsi="宋体" w:eastAsia="宋体" w:cs="宋体"/>
          <w:bCs/>
          <w:color w:val="auto"/>
          <w:sz w:val="24"/>
          <w:szCs w:val="24"/>
          <w:highlight w:val="none"/>
          <w:lang w:val="en-US" w:eastAsia="zh-CN"/>
        </w:rPr>
        <w:t>相关要求</w:t>
      </w:r>
      <w:r>
        <w:rPr>
          <w:rFonts w:hint="eastAsia" w:ascii="宋体" w:hAnsi="宋体" w:eastAsia="宋体" w:cs="宋体"/>
          <w:bCs/>
          <w:color w:val="auto"/>
          <w:sz w:val="24"/>
          <w:szCs w:val="24"/>
          <w:highlight w:val="none"/>
        </w:rPr>
        <w:t>。</w:t>
      </w:r>
    </w:p>
    <w:p w14:paraId="30775EEB">
      <w:pPr>
        <w:autoSpaceDE w:val="0"/>
        <w:autoSpaceDN w:val="0"/>
        <w:adjustRightInd w:val="0"/>
        <w:snapToGrid w:val="0"/>
        <w:spacing w:line="360" w:lineRule="auto"/>
        <w:ind w:firstLine="480" w:firstLineChars="200"/>
        <w:rPr>
          <w:rFonts w:hint="eastAsia" w:ascii="宋体" w:hAnsi="宋体" w:eastAsia="宋体" w:cs="宋体"/>
          <w:bCs/>
          <w:color w:val="000000" w:themeColor="text1"/>
          <w:sz w:val="24"/>
          <w:szCs w:val="24"/>
          <w:highlight w:val="none"/>
          <w:lang w:eastAsia="zh-CN"/>
          <w14:textFill>
            <w14:solidFill>
              <w14:schemeClr w14:val="tx1"/>
            </w14:solidFill>
          </w14:textFill>
        </w:rPr>
      </w:pPr>
      <w:r>
        <w:rPr>
          <w:rFonts w:hint="eastAsia" w:ascii="宋体" w:hAnsi="宋体" w:eastAsia="宋体" w:cs="宋体"/>
          <w:bCs/>
          <w:color w:val="000000" w:themeColor="text1"/>
          <w:sz w:val="24"/>
          <w:szCs w:val="24"/>
          <w:highlight w:val="none"/>
          <w14:textFill>
            <w14:solidFill>
              <w14:schemeClr w14:val="tx1"/>
            </w14:solidFill>
          </w14:textFill>
        </w:rPr>
        <w:t>2、验收标准：按</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服务内容</w:t>
      </w:r>
      <w:r>
        <w:rPr>
          <w:rFonts w:hint="eastAsia" w:ascii="宋体" w:hAnsi="宋体" w:eastAsia="宋体" w:cs="宋体"/>
          <w:bCs/>
          <w:color w:val="000000" w:themeColor="text1"/>
          <w:sz w:val="24"/>
          <w:szCs w:val="24"/>
          <w:highlight w:val="none"/>
          <w14:textFill>
            <w14:solidFill>
              <w14:schemeClr w14:val="tx1"/>
            </w14:solidFill>
          </w14:textFill>
        </w:rPr>
        <w:t>、</w:t>
      </w:r>
      <w:r>
        <w:rPr>
          <w:rFonts w:hint="eastAsia" w:ascii="宋体" w:hAnsi="宋体" w:eastAsia="宋体" w:cs="宋体"/>
          <w:bCs/>
          <w:color w:val="000000" w:themeColor="text1"/>
          <w:sz w:val="24"/>
          <w:szCs w:val="24"/>
          <w:highlight w:val="none"/>
          <w:lang w:val="en-US" w:eastAsia="zh-CN"/>
          <w14:textFill>
            <w14:solidFill>
              <w14:schemeClr w14:val="tx1"/>
            </w14:solidFill>
          </w14:textFill>
        </w:rPr>
        <w:t>服务要求、响应</w:t>
      </w:r>
      <w:r>
        <w:rPr>
          <w:rFonts w:hint="eastAsia" w:ascii="宋体" w:hAnsi="宋体" w:eastAsia="宋体" w:cs="宋体"/>
          <w:bCs/>
          <w:color w:val="000000" w:themeColor="text1"/>
          <w:sz w:val="24"/>
          <w:szCs w:val="24"/>
          <w:highlight w:val="none"/>
          <w14:textFill>
            <w14:solidFill>
              <w14:schemeClr w14:val="tx1"/>
            </w14:solidFill>
          </w14:textFill>
        </w:rPr>
        <w:t>文件及澄清函、项目检查情况等综合指标进行验收。各项指标均应符合验收标准及要求。</w:t>
      </w:r>
    </w:p>
    <w:p w14:paraId="19214CA8">
      <w:pPr>
        <w:autoSpaceDE w:val="0"/>
        <w:autoSpaceDN w:val="0"/>
        <w:adjustRightInd w:val="0"/>
        <w:snapToGrid w:val="0"/>
        <w:spacing w:line="360" w:lineRule="auto"/>
        <w:ind w:firstLine="482" w:firstLineChars="200"/>
        <w:rPr>
          <w:rFonts w:hint="eastAsia" w:ascii="宋体" w:hAnsi="宋体" w:eastAsia="宋体" w:cs="宋体"/>
          <w:bCs/>
          <w:color w:val="auto"/>
          <w:sz w:val="24"/>
          <w:szCs w:val="24"/>
          <w:highlight w:val="none"/>
        </w:rPr>
      </w:pPr>
      <w:r>
        <w:rPr>
          <w:rFonts w:hint="eastAsia" w:ascii="宋体" w:hAnsi="宋体" w:eastAsia="宋体" w:cs="宋体"/>
          <w:b/>
          <w:bCs w:val="0"/>
          <w:color w:val="auto"/>
          <w:sz w:val="24"/>
          <w:szCs w:val="24"/>
          <w:highlight w:val="none"/>
        </w:rPr>
        <w:t>十</w:t>
      </w:r>
      <w:r>
        <w:rPr>
          <w:rFonts w:hint="eastAsia" w:ascii="宋体" w:hAnsi="宋体" w:cs="宋体"/>
          <w:b/>
          <w:bCs w:val="0"/>
          <w:color w:val="auto"/>
          <w:sz w:val="24"/>
          <w:szCs w:val="24"/>
          <w:highlight w:val="none"/>
          <w:lang w:val="en-US" w:eastAsia="zh-CN"/>
        </w:rPr>
        <w:t>二</w:t>
      </w:r>
      <w:r>
        <w:rPr>
          <w:rFonts w:hint="eastAsia" w:ascii="宋体" w:hAnsi="宋体" w:eastAsia="宋体" w:cs="宋体"/>
          <w:b/>
          <w:bCs w:val="0"/>
          <w:color w:val="auto"/>
          <w:sz w:val="24"/>
          <w:szCs w:val="24"/>
          <w:highlight w:val="none"/>
        </w:rPr>
        <w:t>、</w:t>
      </w:r>
      <w:r>
        <w:rPr>
          <w:rFonts w:hint="eastAsia" w:ascii="宋体" w:hAnsi="宋体" w:eastAsia="宋体" w:cs="宋体"/>
          <w:b/>
          <w:bCs w:val="0"/>
          <w:color w:val="auto"/>
          <w:sz w:val="24"/>
          <w:szCs w:val="24"/>
          <w:highlight w:val="none"/>
        </w:rPr>
        <w:t>违约责任</w:t>
      </w:r>
      <w:bookmarkEnd w:id="13"/>
    </w:p>
    <w:p w14:paraId="0C29D455">
      <w:pPr>
        <w:autoSpaceDE w:val="0"/>
        <w:autoSpaceDN w:val="0"/>
        <w:adjustRightInd w:val="0"/>
        <w:snapToGrid w:val="0"/>
        <w:spacing w:line="360" w:lineRule="auto"/>
        <w:ind w:firstLine="480" w:firstLineChars="200"/>
        <w:rPr>
          <w:rFonts w:ascii="宋体" w:cs="宋体"/>
          <w:bCs/>
          <w:color w:val="auto"/>
          <w:sz w:val="24"/>
          <w:szCs w:val="24"/>
          <w:highlight w:val="none"/>
        </w:rPr>
      </w:pPr>
      <w:r>
        <w:rPr>
          <w:rFonts w:hint="eastAsia" w:ascii="宋体" w:hAnsi="宋体" w:cs="宋体"/>
          <w:bCs/>
          <w:color w:val="auto"/>
          <w:sz w:val="24"/>
          <w:szCs w:val="24"/>
          <w:highlight w:val="none"/>
          <w:lang w:val="en-US" w:eastAsia="zh-CN"/>
        </w:rPr>
        <w:t>1、</w:t>
      </w:r>
      <w:r>
        <w:rPr>
          <w:rFonts w:hint="eastAsia" w:ascii="宋体" w:hAnsi="宋体" w:cs="宋体"/>
          <w:bCs/>
          <w:color w:val="auto"/>
          <w:sz w:val="24"/>
          <w:szCs w:val="24"/>
          <w:highlight w:val="none"/>
        </w:rPr>
        <w:t>采购人因未及时向供应商提供项目启动所需资料、协调地方关系造成工期延误，每延误</w:t>
      </w:r>
      <w:r>
        <w:rPr>
          <w:rFonts w:ascii="宋体" w:hAnsi="宋体" w:cs="宋体"/>
          <w:bCs/>
          <w:color w:val="auto"/>
          <w:sz w:val="24"/>
          <w:szCs w:val="24"/>
          <w:highlight w:val="none"/>
        </w:rPr>
        <w:t>1</w:t>
      </w:r>
      <w:r>
        <w:rPr>
          <w:rFonts w:hint="eastAsia" w:ascii="宋体" w:hAnsi="宋体" w:cs="宋体"/>
          <w:bCs/>
          <w:color w:val="auto"/>
          <w:sz w:val="24"/>
          <w:szCs w:val="24"/>
          <w:highlight w:val="none"/>
        </w:rPr>
        <w:t>日则本合同服务期限延长</w:t>
      </w:r>
      <w:r>
        <w:rPr>
          <w:rFonts w:ascii="宋体" w:hAnsi="宋体" w:cs="宋体"/>
          <w:bCs/>
          <w:color w:val="auto"/>
          <w:sz w:val="24"/>
          <w:szCs w:val="24"/>
          <w:highlight w:val="none"/>
        </w:rPr>
        <w:t>1</w:t>
      </w:r>
      <w:r>
        <w:rPr>
          <w:rFonts w:hint="eastAsia" w:ascii="宋体" w:hAnsi="宋体" w:cs="宋体"/>
          <w:bCs/>
          <w:color w:val="auto"/>
          <w:sz w:val="24"/>
          <w:szCs w:val="24"/>
          <w:highlight w:val="none"/>
        </w:rPr>
        <w:t>日，以此类推；因资料真实性给供应商造成损失和产生相关连带责任时，采购人除按供应商要求进行赔偿外还需承担因连带责任产生的所有责任。</w:t>
      </w:r>
    </w:p>
    <w:p w14:paraId="5C13E5D1">
      <w:pPr>
        <w:autoSpaceDE w:val="0"/>
        <w:autoSpaceDN w:val="0"/>
        <w:adjustRightInd w:val="0"/>
        <w:snapToGrid w:val="0"/>
        <w:spacing w:line="360" w:lineRule="auto"/>
        <w:ind w:firstLine="480" w:firstLineChars="200"/>
        <w:rPr>
          <w:rFonts w:ascii="宋体" w:cs="宋体"/>
          <w:bCs/>
          <w:color w:val="auto"/>
          <w:sz w:val="24"/>
          <w:szCs w:val="24"/>
          <w:highlight w:val="none"/>
        </w:rPr>
      </w:pPr>
      <w:r>
        <w:rPr>
          <w:rFonts w:hint="eastAsia" w:ascii="宋体" w:hAnsi="宋体" w:cs="宋体"/>
          <w:bCs/>
          <w:color w:val="auto"/>
          <w:sz w:val="24"/>
          <w:szCs w:val="24"/>
          <w:highlight w:val="none"/>
          <w:lang w:val="en-US" w:eastAsia="zh-CN"/>
        </w:rPr>
        <w:t>2、</w:t>
      </w:r>
      <w:r>
        <w:rPr>
          <w:rFonts w:hint="eastAsia" w:ascii="宋体" w:hAnsi="宋体" w:cs="宋体"/>
          <w:bCs/>
          <w:color w:val="auto"/>
          <w:sz w:val="24"/>
          <w:szCs w:val="24"/>
          <w:highlight w:val="none"/>
        </w:rPr>
        <w:t>因供应商原因造成</w:t>
      </w:r>
      <w:r>
        <w:rPr>
          <w:rFonts w:hint="eastAsia" w:ascii="宋体" w:hAnsi="宋体" w:cs="宋体"/>
          <w:bCs/>
          <w:color w:val="auto"/>
          <w:sz w:val="24"/>
          <w:szCs w:val="24"/>
          <w:highlight w:val="none"/>
          <w:lang w:val="en-US" w:eastAsia="zh-CN"/>
        </w:rPr>
        <w:t>服务</w:t>
      </w:r>
      <w:r>
        <w:rPr>
          <w:rFonts w:hint="eastAsia" w:ascii="宋体" w:hAnsi="宋体" w:cs="宋体"/>
          <w:bCs/>
          <w:color w:val="auto"/>
          <w:sz w:val="24"/>
          <w:szCs w:val="24"/>
          <w:highlight w:val="none"/>
        </w:rPr>
        <w:t>期延误（自然灾害等不可抗力除外），采购人有权从未付款项中按每日</w:t>
      </w:r>
      <w:r>
        <w:rPr>
          <w:rFonts w:ascii="宋体" w:hAnsi="宋体" w:cs="宋体"/>
          <w:bCs/>
          <w:color w:val="auto"/>
          <w:sz w:val="24"/>
          <w:szCs w:val="24"/>
          <w:highlight w:val="none"/>
        </w:rPr>
        <w:t>3</w:t>
      </w:r>
      <w:r>
        <w:rPr>
          <w:rFonts w:hint="eastAsia" w:ascii="宋体" w:hAnsi="宋体" w:cs="宋体"/>
          <w:bCs/>
          <w:color w:val="auto"/>
          <w:sz w:val="24"/>
          <w:szCs w:val="24"/>
          <w:highlight w:val="none"/>
        </w:rPr>
        <w:t>‰合同价款扣除违约金，此违约以</w:t>
      </w:r>
      <w:r>
        <w:rPr>
          <w:rFonts w:ascii="宋体" w:hAnsi="宋体" w:cs="宋体"/>
          <w:bCs/>
          <w:color w:val="auto"/>
          <w:sz w:val="24"/>
          <w:szCs w:val="24"/>
          <w:highlight w:val="none"/>
        </w:rPr>
        <w:t>30</w:t>
      </w:r>
      <w:r>
        <w:rPr>
          <w:rFonts w:hint="eastAsia" w:ascii="宋体" w:hAnsi="宋体" w:cs="宋体"/>
          <w:bCs/>
          <w:color w:val="auto"/>
          <w:sz w:val="24"/>
          <w:szCs w:val="24"/>
          <w:highlight w:val="none"/>
        </w:rPr>
        <w:t>日为限；若采购人未按约定时间付款，则供应商有权按每日</w:t>
      </w:r>
      <w:r>
        <w:rPr>
          <w:rFonts w:ascii="宋体" w:hAnsi="宋体" w:cs="宋体"/>
          <w:bCs/>
          <w:color w:val="auto"/>
          <w:sz w:val="24"/>
          <w:szCs w:val="24"/>
          <w:highlight w:val="none"/>
        </w:rPr>
        <w:t>3</w:t>
      </w:r>
      <w:r>
        <w:rPr>
          <w:rFonts w:hint="eastAsia" w:ascii="宋体" w:hAnsi="宋体" w:cs="宋体"/>
          <w:bCs/>
          <w:color w:val="auto"/>
          <w:sz w:val="24"/>
          <w:szCs w:val="24"/>
          <w:highlight w:val="none"/>
        </w:rPr>
        <w:t>‰合同价款收取违约金。</w:t>
      </w:r>
    </w:p>
    <w:p w14:paraId="733BA474">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十</w:t>
      </w:r>
      <w:r>
        <w:rPr>
          <w:rFonts w:hint="eastAsia" w:ascii="宋体" w:hAnsi="宋体" w:cs="宋体"/>
          <w:b/>
          <w:bCs/>
          <w:color w:val="auto"/>
          <w:kern w:val="0"/>
          <w:sz w:val="24"/>
          <w:szCs w:val="24"/>
          <w:highlight w:val="none"/>
          <w:lang w:val="en-US" w:eastAsia="zh-CN"/>
        </w:rPr>
        <w:t>三</w:t>
      </w:r>
      <w:r>
        <w:rPr>
          <w:rFonts w:hint="eastAsia" w:ascii="宋体" w:hAnsi="宋体" w:cs="宋体"/>
          <w:b/>
          <w:bCs/>
          <w:color w:val="auto"/>
          <w:kern w:val="0"/>
          <w:sz w:val="24"/>
          <w:szCs w:val="24"/>
          <w:highlight w:val="none"/>
        </w:rPr>
        <w:t>、不可抗力事件处理</w:t>
      </w:r>
    </w:p>
    <w:p w14:paraId="148F1EB7">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1. 在合同有效期内，任何一方因不可抗力事件导致不能履行合同，则合同履行期可延长，其延长期与不可抗力影响期相同。</w:t>
      </w:r>
    </w:p>
    <w:p w14:paraId="79CE8E94">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2. 不可抗力事件发生后，应立即通知对方，并寄送有关权威机构出具的证明。</w:t>
      </w:r>
    </w:p>
    <w:p w14:paraId="7E58ECBB">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3. 不可抗力事件延续120天以上，双方应通过友好协商，确定是否继续履行合同。</w:t>
      </w:r>
    </w:p>
    <w:p w14:paraId="73C682EF">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十</w:t>
      </w:r>
      <w:r>
        <w:rPr>
          <w:rFonts w:hint="eastAsia" w:ascii="宋体" w:hAnsi="宋体" w:cs="宋体"/>
          <w:b/>
          <w:bCs/>
          <w:color w:val="auto"/>
          <w:kern w:val="0"/>
          <w:sz w:val="24"/>
          <w:szCs w:val="24"/>
          <w:highlight w:val="none"/>
          <w:lang w:val="en-US" w:eastAsia="zh-CN"/>
        </w:rPr>
        <w:t>四</w:t>
      </w:r>
      <w:r>
        <w:rPr>
          <w:rFonts w:hint="eastAsia" w:ascii="宋体" w:hAnsi="宋体" w:cs="宋体"/>
          <w:b/>
          <w:bCs/>
          <w:color w:val="auto"/>
          <w:kern w:val="0"/>
          <w:sz w:val="24"/>
          <w:szCs w:val="24"/>
          <w:highlight w:val="none"/>
        </w:rPr>
        <w:t>、诉讼</w:t>
      </w:r>
      <w:bookmarkStart w:id="14" w:name="_GoBack"/>
      <w:bookmarkEnd w:id="14"/>
    </w:p>
    <w:p w14:paraId="37BB99B7">
      <w:pPr>
        <w:widowControl/>
        <w:tabs>
          <w:tab w:val="left" w:pos="0"/>
          <w:tab w:val="left" w:pos="437"/>
          <w:tab w:val="left" w:pos="1311"/>
        </w:tabs>
        <w:adjustRightInd w:val="0"/>
        <w:snapToGrid w:val="0"/>
        <w:spacing w:line="360" w:lineRule="auto"/>
        <w:ind w:firstLine="448" w:firstLineChars="200"/>
        <w:jc w:val="left"/>
        <w:rPr>
          <w:rFonts w:hint="eastAsia" w:ascii="宋体" w:hAnsi="宋体" w:cs="宋体"/>
          <w:color w:val="auto"/>
          <w:spacing w:val="-8"/>
          <w:kern w:val="0"/>
          <w:sz w:val="24"/>
          <w:szCs w:val="24"/>
          <w:highlight w:val="none"/>
        </w:rPr>
      </w:pPr>
      <w:r>
        <w:rPr>
          <w:rFonts w:hint="eastAsia" w:ascii="宋体" w:hAnsi="宋体" w:cs="宋体"/>
          <w:color w:val="auto"/>
          <w:spacing w:val="-8"/>
          <w:kern w:val="0"/>
          <w:sz w:val="24"/>
          <w:szCs w:val="24"/>
          <w:highlight w:val="none"/>
        </w:rPr>
        <w:t>双方在执行合同中所发生的一切争议，应通过协商解决。如协商不成，可向采购人所在地法院起诉。</w:t>
      </w:r>
    </w:p>
    <w:p w14:paraId="03683287">
      <w:pPr>
        <w:widowControl/>
        <w:tabs>
          <w:tab w:val="left" w:pos="0"/>
          <w:tab w:val="left" w:pos="437"/>
          <w:tab w:val="left" w:pos="1311"/>
        </w:tabs>
        <w:adjustRightInd w:val="0"/>
        <w:snapToGrid w:val="0"/>
        <w:spacing w:line="360" w:lineRule="auto"/>
        <w:ind w:firstLine="482" w:firstLineChars="200"/>
        <w:jc w:val="left"/>
        <w:rPr>
          <w:rFonts w:hint="eastAsia" w:ascii="宋体" w:hAnsi="宋体" w:cs="宋体"/>
          <w:b/>
          <w:bCs/>
          <w:color w:val="auto"/>
          <w:kern w:val="0"/>
          <w:sz w:val="24"/>
          <w:szCs w:val="24"/>
          <w:highlight w:val="none"/>
        </w:rPr>
      </w:pPr>
      <w:r>
        <w:rPr>
          <w:rFonts w:hint="eastAsia" w:ascii="宋体" w:hAnsi="宋体" w:cs="宋体"/>
          <w:b/>
          <w:bCs/>
          <w:color w:val="auto"/>
          <w:kern w:val="0"/>
          <w:sz w:val="24"/>
          <w:szCs w:val="24"/>
          <w:highlight w:val="none"/>
        </w:rPr>
        <w:t>十</w:t>
      </w:r>
      <w:r>
        <w:rPr>
          <w:rFonts w:hint="eastAsia" w:ascii="宋体" w:hAnsi="宋体" w:cs="宋体"/>
          <w:b/>
          <w:bCs/>
          <w:color w:val="auto"/>
          <w:kern w:val="0"/>
          <w:sz w:val="24"/>
          <w:szCs w:val="24"/>
          <w:highlight w:val="none"/>
          <w:lang w:val="en-US" w:eastAsia="zh-CN"/>
        </w:rPr>
        <w:t>五</w:t>
      </w:r>
      <w:r>
        <w:rPr>
          <w:rFonts w:hint="eastAsia" w:ascii="宋体" w:hAnsi="宋体" w:cs="宋体"/>
          <w:b/>
          <w:bCs/>
          <w:color w:val="auto"/>
          <w:kern w:val="0"/>
          <w:sz w:val="24"/>
          <w:szCs w:val="24"/>
          <w:highlight w:val="none"/>
        </w:rPr>
        <w:t>、合同生效及其它</w:t>
      </w:r>
    </w:p>
    <w:p w14:paraId="1C1854E8">
      <w:pPr>
        <w:widowControl/>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szCs w:val="24"/>
          <w:highlight w:val="none"/>
        </w:rPr>
      </w:pPr>
      <w:r>
        <w:rPr>
          <w:rFonts w:hint="eastAsia" w:ascii="宋体" w:hAnsi="宋体" w:cs="宋体"/>
          <w:color w:val="auto"/>
          <w:kern w:val="0"/>
          <w:sz w:val="24"/>
          <w:szCs w:val="24"/>
          <w:highlight w:val="none"/>
        </w:rPr>
        <w:t>1、本合同经采购人、供应商法定代表人或其委托人签字并加盖公章后生效。</w:t>
      </w:r>
    </w:p>
    <w:p w14:paraId="2AB3B00A">
      <w:pPr>
        <w:widowControl/>
        <w:tabs>
          <w:tab w:val="left" w:pos="0"/>
          <w:tab w:val="left" w:pos="437"/>
          <w:tab w:val="left" w:pos="1311"/>
        </w:tabs>
        <w:adjustRightInd w:val="0"/>
        <w:snapToGrid w:val="0"/>
        <w:spacing w:line="360" w:lineRule="auto"/>
        <w:ind w:firstLine="448" w:firstLineChars="200"/>
        <w:jc w:val="left"/>
        <w:rPr>
          <w:rFonts w:hint="eastAsia" w:ascii="宋体" w:hAnsi="宋体" w:cs="宋体"/>
          <w:color w:val="auto"/>
          <w:kern w:val="0"/>
          <w:sz w:val="24"/>
          <w:szCs w:val="24"/>
          <w:highlight w:val="none"/>
        </w:rPr>
      </w:pPr>
      <w:r>
        <w:rPr>
          <w:rFonts w:hint="eastAsia" w:ascii="宋体" w:hAnsi="宋体" w:cs="宋体"/>
          <w:color w:val="auto"/>
          <w:spacing w:val="-8"/>
          <w:kern w:val="0"/>
          <w:sz w:val="24"/>
          <w:szCs w:val="24"/>
          <w:highlight w:val="none"/>
        </w:rPr>
        <w:t>2、本合同一式</w:t>
      </w:r>
      <w:r>
        <w:rPr>
          <w:rFonts w:hint="eastAsia" w:ascii="宋体" w:hAnsi="宋体" w:cs="宋体"/>
          <w:color w:val="auto"/>
          <w:spacing w:val="-8"/>
          <w:kern w:val="0"/>
          <w:sz w:val="24"/>
          <w:szCs w:val="24"/>
          <w:highlight w:val="none"/>
          <w:u w:val="single"/>
          <w:lang w:val="en-US" w:eastAsia="zh-CN"/>
        </w:rPr>
        <w:t>陆</w:t>
      </w:r>
      <w:r>
        <w:rPr>
          <w:rFonts w:hint="eastAsia" w:ascii="宋体" w:hAnsi="宋体" w:cs="宋体"/>
          <w:color w:val="auto"/>
          <w:spacing w:val="-8"/>
          <w:kern w:val="0"/>
          <w:sz w:val="24"/>
          <w:szCs w:val="24"/>
          <w:highlight w:val="none"/>
        </w:rPr>
        <w:t>份，采购人、供应商各执</w:t>
      </w:r>
      <w:r>
        <w:rPr>
          <w:rFonts w:hint="eastAsia" w:ascii="宋体" w:hAnsi="宋体" w:cs="宋体"/>
          <w:color w:val="auto"/>
          <w:spacing w:val="-8"/>
          <w:kern w:val="0"/>
          <w:sz w:val="24"/>
          <w:szCs w:val="24"/>
          <w:highlight w:val="none"/>
          <w:u w:val="single"/>
          <w:lang w:val="en-US" w:eastAsia="zh-CN"/>
        </w:rPr>
        <w:t>贰</w:t>
      </w:r>
      <w:r>
        <w:rPr>
          <w:rFonts w:hint="eastAsia" w:ascii="宋体" w:hAnsi="宋体" w:cs="宋体"/>
          <w:color w:val="auto"/>
          <w:spacing w:val="-8"/>
          <w:kern w:val="0"/>
          <w:sz w:val="24"/>
          <w:szCs w:val="24"/>
          <w:highlight w:val="none"/>
        </w:rPr>
        <w:t>份，其余相关部门各</w:t>
      </w:r>
      <w:r>
        <w:rPr>
          <w:rFonts w:hint="eastAsia" w:ascii="宋体" w:hAnsi="宋体" w:cs="宋体"/>
          <w:color w:val="auto"/>
          <w:spacing w:val="-8"/>
          <w:kern w:val="0"/>
          <w:sz w:val="24"/>
          <w:szCs w:val="24"/>
          <w:highlight w:val="none"/>
          <w:u w:val="single"/>
          <w:lang w:val="en-US" w:eastAsia="zh-CN"/>
        </w:rPr>
        <w:t>壹</w:t>
      </w:r>
      <w:r>
        <w:rPr>
          <w:rFonts w:hint="eastAsia" w:ascii="宋体" w:hAnsi="宋体" w:cs="宋体"/>
          <w:color w:val="auto"/>
          <w:spacing w:val="-8"/>
          <w:kern w:val="0"/>
          <w:sz w:val="24"/>
          <w:szCs w:val="24"/>
          <w:highlight w:val="none"/>
        </w:rPr>
        <w:t>份。</w:t>
      </w:r>
    </w:p>
    <w:p w14:paraId="19283C7A">
      <w:pPr>
        <w:pStyle w:val="4"/>
        <w:spacing w:line="360" w:lineRule="auto"/>
        <w:ind w:firstLine="240" w:firstLineChars="100"/>
        <w:rPr>
          <w:rFonts w:hint="eastAsia" w:ascii="宋体" w:hAnsi="宋体" w:cs="宋体"/>
          <w:color w:val="auto"/>
          <w:kern w:val="0"/>
          <w:sz w:val="24"/>
          <w:szCs w:val="24"/>
        </w:rPr>
      </w:pPr>
    </w:p>
    <w:p w14:paraId="7020BE2E">
      <w:pPr>
        <w:pStyle w:val="4"/>
        <w:keepNext w:val="0"/>
        <w:keepLines w:val="0"/>
        <w:pageBreakBefore w:val="0"/>
        <w:widowControl w:val="0"/>
        <w:kinsoku/>
        <w:wordWrap/>
        <w:overflowPunct/>
        <w:topLinePunct w:val="0"/>
        <w:autoSpaceDE/>
        <w:autoSpaceDN/>
        <w:bidi w:val="0"/>
        <w:adjustRightInd/>
        <w:snapToGrid/>
        <w:spacing w:line="600" w:lineRule="auto"/>
        <w:ind w:firstLine="240" w:firstLineChars="100"/>
        <w:textAlignment w:val="auto"/>
        <w:rPr>
          <w:rFonts w:hint="eastAsia" w:ascii="宋体" w:hAnsi="宋体" w:cs="宋体"/>
          <w:color w:val="auto"/>
          <w:kern w:val="0"/>
          <w:sz w:val="24"/>
          <w:szCs w:val="24"/>
        </w:rPr>
      </w:pPr>
    </w:p>
    <w:p w14:paraId="057A0949">
      <w:pPr>
        <w:pStyle w:val="4"/>
        <w:keepNext w:val="0"/>
        <w:keepLines w:val="0"/>
        <w:pageBreakBefore w:val="0"/>
        <w:widowControl w:val="0"/>
        <w:kinsoku/>
        <w:wordWrap/>
        <w:overflowPunct/>
        <w:topLinePunct w:val="0"/>
        <w:autoSpaceDE/>
        <w:autoSpaceDN/>
        <w:bidi w:val="0"/>
        <w:adjustRightInd/>
        <w:snapToGrid/>
        <w:spacing w:line="600" w:lineRule="auto"/>
        <w:ind w:firstLine="240" w:firstLineChars="100"/>
        <w:textAlignment w:val="auto"/>
        <w:rPr>
          <w:rFonts w:hint="eastAsia" w:ascii="宋体" w:hAnsi="宋体" w:cs="宋体"/>
          <w:color w:val="auto"/>
          <w:kern w:val="0"/>
          <w:sz w:val="24"/>
          <w:szCs w:val="24"/>
        </w:rPr>
      </w:pPr>
    </w:p>
    <w:p w14:paraId="30D15FEF">
      <w:pPr>
        <w:pStyle w:val="4"/>
        <w:keepNext w:val="0"/>
        <w:keepLines w:val="0"/>
        <w:pageBreakBefore w:val="0"/>
        <w:widowControl w:val="0"/>
        <w:kinsoku/>
        <w:wordWrap/>
        <w:overflowPunct/>
        <w:topLinePunct w:val="0"/>
        <w:autoSpaceDE/>
        <w:autoSpaceDN/>
        <w:bidi w:val="0"/>
        <w:adjustRightInd/>
        <w:snapToGrid/>
        <w:spacing w:line="600" w:lineRule="auto"/>
        <w:ind w:firstLine="240" w:firstLineChars="100"/>
        <w:textAlignment w:val="auto"/>
        <w:rPr>
          <w:rFonts w:hint="eastAsia" w:ascii="宋体" w:hAnsi="宋体" w:cs="宋体"/>
          <w:color w:val="auto"/>
          <w:kern w:val="0"/>
          <w:sz w:val="24"/>
          <w:szCs w:val="24"/>
        </w:rPr>
      </w:pPr>
    </w:p>
    <w:p w14:paraId="6A06E9C3">
      <w:pPr>
        <w:adjustRightInd/>
        <w:snapToGrid/>
        <w:spacing w:line="240" w:lineRule="auto"/>
        <w:ind w:firstLine="0" w:firstLineChars="0"/>
        <w:rPr>
          <w:rFonts w:ascii="Tahoma" w:hAnsi="Tahoma"/>
          <w:sz w:val="24"/>
          <w:szCs w:val="24"/>
        </w:rPr>
        <w:sectPr>
          <w:footerReference r:id="rId7" w:type="default"/>
          <w:pgSz w:w="11906" w:h="16838"/>
          <w:pgMar w:top="1417" w:right="1417" w:bottom="1417" w:left="1417" w:header="851" w:footer="992" w:gutter="0"/>
          <w:pgBorders>
            <w:top w:val="none" w:sz="0" w:space="0"/>
            <w:left w:val="none" w:sz="0" w:space="0"/>
            <w:bottom w:val="none" w:sz="0" w:space="0"/>
            <w:right w:val="none" w:sz="0" w:space="0"/>
          </w:pgBorders>
          <w:pgNumType w:fmt="decimal" w:start="1"/>
          <w:cols w:space="720" w:num="1"/>
          <w:rtlGutter w:val="0"/>
          <w:docGrid w:type="lines" w:linePitch="312" w:charSpace="0"/>
        </w:sectPr>
      </w:pPr>
    </w:p>
    <w:p w14:paraId="5179D7C3">
      <w:pPr>
        <w:adjustRightInd/>
        <w:snapToGrid/>
        <w:spacing w:line="240" w:lineRule="auto"/>
        <w:ind w:firstLine="0" w:firstLineChars="0"/>
        <w:rPr>
          <w:rFonts w:hint="eastAsia" w:ascii="Calibri" w:hAnsi="Calibri" w:eastAsia="宋体" w:cs="Times New Roman"/>
          <w:kern w:val="2"/>
          <w:sz w:val="24"/>
          <w:szCs w:val="24"/>
        </w:rPr>
      </w:pPr>
      <w:r>
        <w:rPr>
          <w:rFonts w:ascii="Tahoma" w:hAnsi="Tahoma"/>
          <w:sz w:val="24"/>
          <w:szCs w:val="24"/>
        </w:rPr>
        <w:t>（本页无正文，为签章页）</w:t>
      </w:r>
    </w:p>
    <w:tbl>
      <w:tblPr>
        <w:tblStyle w:val="8"/>
        <w:tblpPr w:leftFromText="180" w:rightFromText="180" w:vertAnchor="text" w:horzAnchor="page" w:tblpX="1511" w:tblpY="323"/>
        <w:tblOverlap w:val="never"/>
        <w:tblW w:w="94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60"/>
        <w:gridCol w:w="4843"/>
      </w:tblGrid>
      <w:tr w14:paraId="45F37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0" w:type="dxa"/>
            <w:noWrap w:val="0"/>
            <w:vAlign w:val="center"/>
          </w:tcPr>
          <w:p w14:paraId="423E8BF8">
            <w:pPr>
              <w:keepNext w:val="0"/>
              <w:keepLines w:val="0"/>
              <w:pageBreakBefore w:val="0"/>
              <w:widowControl w:val="0"/>
              <w:kinsoku/>
              <w:wordWrap/>
              <w:overflowPunct/>
              <w:topLinePunct w:val="0"/>
              <w:bidi w:val="0"/>
              <w:adjustRightInd/>
              <w:snapToGrid/>
              <w:spacing w:line="560" w:lineRule="exact"/>
              <w:jc w:val="center"/>
              <w:textAlignment w:val="auto"/>
              <w:rPr>
                <w:rFonts w:hint="eastAsia" w:ascii="宋体" w:hAnsi="宋体" w:eastAsia="宋体" w:cs="宋体"/>
                <w:b/>
                <w:bCs/>
                <w:sz w:val="24"/>
                <w:szCs w:val="24"/>
                <w:vertAlign w:val="baseline"/>
                <w:lang w:val="en-US" w:eastAsia="zh-CN"/>
              </w:rPr>
            </w:pPr>
            <w:r>
              <w:rPr>
                <w:rFonts w:hint="eastAsia" w:ascii="宋体" w:hAnsi="宋体" w:eastAsia="宋体" w:cs="宋体"/>
                <w:b/>
                <w:bCs/>
                <w:sz w:val="24"/>
                <w:szCs w:val="24"/>
                <w:vertAlign w:val="baseline"/>
                <w:lang w:val="en-US" w:eastAsia="zh-CN"/>
              </w:rPr>
              <w:t>采购人</w:t>
            </w:r>
          </w:p>
        </w:tc>
        <w:tc>
          <w:tcPr>
            <w:tcW w:w="4843" w:type="dxa"/>
            <w:noWrap w:val="0"/>
            <w:vAlign w:val="center"/>
          </w:tcPr>
          <w:p w14:paraId="7023E44B">
            <w:pPr>
              <w:keepNext w:val="0"/>
              <w:keepLines w:val="0"/>
              <w:pageBreakBefore w:val="0"/>
              <w:widowControl w:val="0"/>
              <w:kinsoku/>
              <w:wordWrap/>
              <w:overflowPunct/>
              <w:topLinePunct w:val="0"/>
              <w:bidi w:val="0"/>
              <w:adjustRightInd/>
              <w:snapToGrid/>
              <w:spacing w:line="560" w:lineRule="exact"/>
              <w:jc w:val="center"/>
              <w:textAlignment w:val="auto"/>
              <w:rPr>
                <w:rFonts w:hint="eastAsia" w:ascii="宋体" w:hAnsi="宋体" w:eastAsia="宋体" w:cs="宋体"/>
                <w:b/>
                <w:bCs/>
                <w:color w:val="auto"/>
                <w:sz w:val="24"/>
                <w:szCs w:val="24"/>
                <w:vertAlign w:val="baseline"/>
                <w:lang w:val="en-US" w:eastAsia="zh-CN"/>
              </w:rPr>
            </w:pPr>
            <w:r>
              <w:rPr>
                <w:rFonts w:hint="eastAsia" w:ascii="宋体" w:hAnsi="宋体" w:eastAsia="宋体" w:cs="宋体"/>
                <w:b/>
                <w:bCs/>
                <w:color w:val="auto"/>
                <w:sz w:val="24"/>
                <w:szCs w:val="24"/>
                <w:vertAlign w:val="baseline"/>
                <w:lang w:val="en-US" w:eastAsia="zh-CN"/>
              </w:rPr>
              <w:t>供应商</w:t>
            </w:r>
          </w:p>
        </w:tc>
      </w:tr>
      <w:tr w14:paraId="5B7AB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5" w:hRule="atLeast"/>
        </w:trPr>
        <w:tc>
          <w:tcPr>
            <w:tcW w:w="4560" w:type="dxa"/>
            <w:noWrap w:val="0"/>
            <w:vAlign w:val="center"/>
          </w:tcPr>
          <w:p w14:paraId="24FF9895">
            <w:pPr>
              <w:keepNext w:val="0"/>
              <w:keepLines w:val="0"/>
              <w:pageBreakBefore w:val="0"/>
              <w:widowControl w:val="0"/>
              <w:kinsoku/>
              <w:wordWrap/>
              <w:overflowPunct/>
              <w:topLinePunct w:val="0"/>
              <w:autoSpaceDE w:val="0"/>
              <w:autoSpaceDN w:val="0"/>
              <w:bidi w:val="0"/>
              <w:adjustRightInd/>
              <w:snapToGrid/>
              <w:spacing w:line="560" w:lineRule="exact"/>
              <w:ind w:left="0" w:leftChars="0" w:firstLine="0" w:firstLineChars="0"/>
              <w:jc w:val="both"/>
              <w:textAlignment w:val="auto"/>
              <w:rPr>
                <w:rFonts w:hint="eastAsia" w:ascii="宋体" w:hAnsi="宋体" w:eastAsia="宋体" w:cs="宋体"/>
                <w:sz w:val="24"/>
                <w:szCs w:val="24"/>
                <w:vertAlign w:val="baseline"/>
              </w:rPr>
            </w:pPr>
            <w:r>
              <w:rPr>
                <w:rFonts w:hint="eastAsia" w:ascii="宋体" w:hAnsi="宋体" w:eastAsia="宋体" w:cs="宋体"/>
                <w:sz w:val="24"/>
                <w:szCs w:val="24"/>
              </w:rPr>
              <w:t>渭南市环境科学研究中心</w:t>
            </w:r>
            <w:r>
              <w:rPr>
                <w:rFonts w:hint="eastAsia" w:ascii="宋体" w:hAnsi="宋体" w:cs="宋体"/>
                <w:sz w:val="24"/>
                <w:szCs w:val="24"/>
                <w:lang w:eastAsia="zh-CN"/>
              </w:rPr>
              <w:t>（公章）</w:t>
            </w:r>
          </w:p>
        </w:tc>
        <w:tc>
          <w:tcPr>
            <w:tcW w:w="4843" w:type="dxa"/>
            <w:noWrap w:val="0"/>
            <w:vAlign w:val="center"/>
          </w:tcPr>
          <w:p w14:paraId="00506597">
            <w:pPr>
              <w:keepNext w:val="0"/>
              <w:keepLines w:val="0"/>
              <w:pageBreakBefore w:val="0"/>
              <w:widowControl w:val="0"/>
              <w:kinsoku/>
              <w:wordWrap/>
              <w:overflowPunct/>
              <w:topLinePunct w:val="0"/>
              <w:autoSpaceDE w:val="0"/>
              <w:autoSpaceDN w:val="0"/>
              <w:bidi w:val="0"/>
              <w:adjustRightInd/>
              <w:snapToGrid/>
              <w:spacing w:line="560" w:lineRule="exact"/>
              <w:ind w:left="0" w:leftChars="0" w:firstLine="0" w:firstLineChars="0"/>
              <w:jc w:val="both"/>
              <w:textAlignment w:val="auto"/>
              <w:rPr>
                <w:rFonts w:hint="eastAsia" w:ascii="宋体" w:hAnsi="宋体" w:eastAsia="宋体" w:cs="宋体"/>
                <w:color w:val="auto"/>
                <w:sz w:val="24"/>
                <w:szCs w:val="24"/>
                <w:u w:val="none"/>
              </w:rPr>
            </w:pPr>
            <w:r>
              <w:rPr>
                <w:rFonts w:hint="eastAsia"/>
                <w:b w:val="0"/>
                <w:bCs/>
                <w:color w:val="auto"/>
                <w:sz w:val="24"/>
                <w:szCs w:val="24"/>
                <w:u w:val="none"/>
                <w:lang w:val="en-US" w:eastAsia="zh-CN"/>
              </w:rPr>
              <w:t xml:space="preserve">                          </w:t>
            </w:r>
            <w:r>
              <w:rPr>
                <w:rFonts w:hint="eastAsia" w:ascii="宋体" w:hAnsi="宋体" w:cs="宋体"/>
                <w:color w:val="auto"/>
                <w:sz w:val="24"/>
                <w:szCs w:val="24"/>
                <w:u w:val="none"/>
                <w:lang w:eastAsia="zh-CN"/>
              </w:rPr>
              <w:t>（公章）</w:t>
            </w:r>
          </w:p>
        </w:tc>
      </w:tr>
      <w:tr w14:paraId="26457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trPr>
        <w:tc>
          <w:tcPr>
            <w:tcW w:w="4560" w:type="dxa"/>
            <w:noWrap w:val="0"/>
            <w:vAlign w:val="center"/>
          </w:tcPr>
          <w:p w14:paraId="4A2D81AF">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地址：渭南市朝阳大街中段市生态环境局</w:t>
            </w:r>
          </w:p>
        </w:tc>
        <w:tc>
          <w:tcPr>
            <w:tcW w:w="4843" w:type="dxa"/>
            <w:noWrap w:val="0"/>
            <w:vAlign w:val="center"/>
          </w:tcPr>
          <w:p w14:paraId="59137950">
            <w:pPr>
              <w:keepNext w:val="0"/>
              <w:keepLines w:val="0"/>
              <w:pageBreakBefore w:val="0"/>
              <w:widowControl w:val="0"/>
              <w:kinsoku/>
              <w:wordWrap/>
              <w:overflowPunct/>
              <w:topLinePunct w:val="0"/>
              <w:bidi w:val="0"/>
              <w:adjustRightInd/>
              <w:snapToGrid/>
              <w:spacing w:line="240" w:lineRule="auto"/>
              <w:ind w:left="0" w:leftChars="0" w:firstLine="0" w:firstLineChars="0"/>
              <w:jc w:val="both"/>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地址：</w:t>
            </w:r>
          </w:p>
        </w:tc>
      </w:tr>
      <w:tr w14:paraId="64C94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60" w:type="dxa"/>
            <w:noWrap w:val="0"/>
            <w:vAlign w:val="center"/>
          </w:tcPr>
          <w:p w14:paraId="517F8CFC">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eastAsia" w:ascii="宋体" w:hAnsi="宋体" w:eastAsia="宋体" w:cs="宋体"/>
                <w:sz w:val="24"/>
                <w:szCs w:val="24"/>
                <w:vertAlign w:val="baseline"/>
              </w:rPr>
            </w:pPr>
            <w:r>
              <w:rPr>
                <w:rFonts w:hint="eastAsia" w:ascii="宋体" w:hAnsi="宋体" w:eastAsia="宋体" w:cs="宋体"/>
                <w:sz w:val="24"/>
                <w:szCs w:val="24"/>
              </w:rPr>
              <w:t>邮编：</w:t>
            </w:r>
            <w:r>
              <w:rPr>
                <w:rFonts w:hint="eastAsia" w:ascii="宋体" w:hAnsi="宋体" w:eastAsia="宋体" w:cs="宋体"/>
                <w:sz w:val="24"/>
                <w:szCs w:val="24"/>
                <w:lang w:val="en-US" w:eastAsia="zh-CN"/>
              </w:rPr>
              <w:t>714000</w:t>
            </w:r>
          </w:p>
        </w:tc>
        <w:tc>
          <w:tcPr>
            <w:tcW w:w="4843" w:type="dxa"/>
            <w:noWrap w:val="0"/>
            <w:vAlign w:val="center"/>
          </w:tcPr>
          <w:p w14:paraId="61B729B1">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default" w:ascii="宋体" w:hAnsi="宋体" w:eastAsia="宋体" w:cs="宋体"/>
                <w:color w:val="0000FF"/>
                <w:sz w:val="24"/>
                <w:szCs w:val="24"/>
                <w:u w:val="none"/>
                <w:vertAlign w:val="baseline"/>
                <w:lang w:val="en-US" w:eastAsia="zh-CN"/>
              </w:rPr>
            </w:pPr>
            <w:r>
              <w:rPr>
                <w:rFonts w:hint="eastAsia" w:ascii="宋体" w:hAnsi="宋体" w:eastAsia="宋体" w:cs="宋体"/>
                <w:sz w:val="24"/>
                <w:szCs w:val="24"/>
                <w:highlight w:val="none"/>
                <w:u w:val="none"/>
                <w:lang w:val="en-US" w:eastAsia="zh-CN"/>
              </w:rPr>
              <w:t>邮编：</w:t>
            </w:r>
          </w:p>
        </w:tc>
      </w:tr>
      <w:tr w14:paraId="1F9EB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0" w:hRule="atLeast"/>
        </w:trPr>
        <w:tc>
          <w:tcPr>
            <w:tcW w:w="4560" w:type="dxa"/>
            <w:noWrap w:val="0"/>
            <w:vAlign w:val="center"/>
          </w:tcPr>
          <w:p w14:paraId="2E101664">
            <w:pPr>
              <w:keepNext w:val="0"/>
              <w:keepLines w:val="0"/>
              <w:pageBreakBefore w:val="0"/>
              <w:widowControl w:val="0"/>
              <w:kinsoku/>
              <w:wordWrap/>
              <w:overflowPunct/>
              <w:topLinePunct w:val="0"/>
              <w:autoSpaceDE w:val="0"/>
              <w:autoSpaceDN w:val="0"/>
              <w:bidi w:val="0"/>
              <w:adjustRightInd/>
              <w:snapToGrid/>
              <w:spacing w:line="560" w:lineRule="exact"/>
              <w:ind w:left="0" w:leftChars="0" w:firstLine="0" w:firstLineChars="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法定</w:t>
            </w:r>
            <w:r>
              <w:rPr>
                <w:rFonts w:hint="eastAsia" w:ascii="宋体" w:hAnsi="宋体" w:eastAsia="宋体" w:cs="宋体"/>
                <w:color w:val="auto"/>
                <w:sz w:val="24"/>
                <w:szCs w:val="24"/>
              </w:rPr>
              <w:t>代表</w:t>
            </w:r>
            <w:r>
              <w:rPr>
                <w:rFonts w:hint="eastAsia" w:ascii="宋体" w:hAnsi="宋体" w:eastAsia="宋体" w:cs="宋体"/>
                <w:color w:val="auto"/>
                <w:sz w:val="24"/>
                <w:szCs w:val="24"/>
                <w:lang w:val="en-US" w:eastAsia="zh-CN"/>
              </w:rPr>
              <w:t>人</w:t>
            </w:r>
          </w:p>
          <w:p w14:paraId="72E02C06">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签字</w:t>
            </w:r>
            <w:r>
              <w:rPr>
                <w:rFonts w:hint="eastAsia" w:ascii="宋体" w:hAnsi="宋体" w:eastAsia="宋体" w:cs="宋体"/>
                <w:color w:val="auto"/>
                <w:sz w:val="24"/>
                <w:szCs w:val="24"/>
                <w:lang w:val="en-US" w:eastAsia="zh-CN"/>
              </w:rPr>
              <w:t>或盖章</w:t>
            </w:r>
            <w:r>
              <w:rPr>
                <w:rFonts w:hint="eastAsia" w:ascii="宋体" w:hAnsi="宋体" w:eastAsia="宋体" w:cs="宋体"/>
                <w:color w:val="auto"/>
                <w:sz w:val="24"/>
                <w:szCs w:val="24"/>
                <w:lang w:eastAsia="zh-CN"/>
              </w:rPr>
              <w:t>）：</w:t>
            </w:r>
          </w:p>
        </w:tc>
        <w:tc>
          <w:tcPr>
            <w:tcW w:w="4843" w:type="dxa"/>
            <w:noWrap w:val="0"/>
            <w:vAlign w:val="center"/>
          </w:tcPr>
          <w:p w14:paraId="444C13F5">
            <w:pPr>
              <w:keepNext w:val="0"/>
              <w:keepLines w:val="0"/>
              <w:pageBreakBefore w:val="0"/>
              <w:widowControl w:val="0"/>
              <w:kinsoku/>
              <w:wordWrap/>
              <w:overflowPunct/>
              <w:topLinePunct w:val="0"/>
              <w:autoSpaceDE w:val="0"/>
              <w:autoSpaceDN w:val="0"/>
              <w:bidi w:val="0"/>
              <w:adjustRightInd/>
              <w:snapToGrid/>
              <w:spacing w:line="560" w:lineRule="exact"/>
              <w:ind w:left="0" w:leftChars="0" w:firstLine="0" w:firstLineChars="0"/>
              <w:jc w:val="both"/>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val="en-US" w:eastAsia="zh-CN"/>
              </w:rPr>
              <w:t>法定</w:t>
            </w:r>
            <w:r>
              <w:rPr>
                <w:rFonts w:hint="eastAsia" w:ascii="宋体" w:hAnsi="宋体" w:eastAsia="宋体" w:cs="宋体"/>
                <w:color w:val="auto"/>
                <w:sz w:val="24"/>
                <w:szCs w:val="24"/>
                <w:u w:val="none"/>
              </w:rPr>
              <w:t>代表</w:t>
            </w:r>
            <w:r>
              <w:rPr>
                <w:rFonts w:hint="eastAsia" w:ascii="宋体" w:hAnsi="宋体" w:eastAsia="宋体" w:cs="宋体"/>
                <w:color w:val="auto"/>
                <w:sz w:val="24"/>
                <w:szCs w:val="24"/>
                <w:u w:val="none"/>
                <w:lang w:val="en-US" w:eastAsia="zh-CN"/>
              </w:rPr>
              <w:t>人</w:t>
            </w:r>
          </w:p>
          <w:p w14:paraId="72B7EDEF">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eastAsia" w:ascii="宋体" w:hAnsi="宋体" w:eastAsia="宋体" w:cs="宋体"/>
                <w:color w:val="auto"/>
                <w:sz w:val="24"/>
                <w:szCs w:val="24"/>
                <w:u w:val="none"/>
                <w:vertAlign w:val="baseline"/>
              </w:rPr>
            </w:pPr>
            <w:r>
              <w:rPr>
                <w:rFonts w:hint="eastAsia" w:ascii="宋体" w:hAnsi="宋体" w:eastAsia="宋体" w:cs="宋体"/>
                <w:color w:val="auto"/>
                <w:sz w:val="24"/>
                <w:szCs w:val="24"/>
                <w:u w:val="none"/>
                <w:lang w:eastAsia="zh-CN"/>
              </w:rPr>
              <w:t>（</w:t>
            </w:r>
            <w:r>
              <w:rPr>
                <w:rFonts w:hint="eastAsia" w:ascii="宋体" w:hAnsi="宋体" w:eastAsia="宋体" w:cs="宋体"/>
                <w:color w:val="auto"/>
                <w:sz w:val="24"/>
                <w:szCs w:val="24"/>
                <w:u w:val="none"/>
              </w:rPr>
              <w:t>签字</w:t>
            </w:r>
            <w:r>
              <w:rPr>
                <w:rFonts w:hint="eastAsia" w:ascii="宋体" w:hAnsi="宋体" w:eastAsia="宋体" w:cs="宋体"/>
                <w:color w:val="auto"/>
                <w:sz w:val="24"/>
                <w:szCs w:val="24"/>
                <w:u w:val="none"/>
                <w:lang w:val="en-US" w:eastAsia="zh-CN"/>
              </w:rPr>
              <w:t>或盖章</w:t>
            </w:r>
            <w:r>
              <w:rPr>
                <w:rFonts w:hint="eastAsia" w:ascii="宋体" w:hAnsi="宋体" w:eastAsia="宋体" w:cs="宋体"/>
                <w:color w:val="auto"/>
                <w:sz w:val="24"/>
                <w:szCs w:val="24"/>
                <w:u w:val="none"/>
                <w:lang w:eastAsia="zh-CN"/>
              </w:rPr>
              <w:t>）：</w:t>
            </w:r>
          </w:p>
        </w:tc>
      </w:tr>
      <w:tr w14:paraId="5FFC37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4560" w:type="dxa"/>
            <w:noWrap w:val="0"/>
            <w:vAlign w:val="center"/>
          </w:tcPr>
          <w:p w14:paraId="42F1FB1A">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eastAsia" w:ascii="宋体" w:hAnsi="宋体" w:eastAsia="宋体" w:cs="宋体"/>
                <w:sz w:val="24"/>
                <w:szCs w:val="24"/>
                <w:lang w:eastAsia="zh-CN"/>
              </w:rPr>
            </w:pPr>
            <w:r>
              <w:rPr>
                <w:rFonts w:hint="eastAsia" w:ascii="宋体" w:hAnsi="宋体" w:cs="宋体"/>
                <w:sz w:val="24"/>
                <w:szCs w:val="24"/>
                <w:vertAlign w:val="baseline"/>
                <w:lang w:eastAsia="zh-CN"/>
              </w:rPr>
              <w:t>联系人：</w:t>
            </w:r>
          </w:p>
        </w:tc>
        <w:tc>
          <w:tcPr>
            <w:tcW w:w="4843" w:type="dxa"/>
            <w:noWrap w:val="0"/>
            <w:vAlign w:val="center"/>
          </w:tcPr>
          <w:p w14:paraId="15DD25F4">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eastAsia" w:ascii="宋体" w:hAnsi="宋体" w:eastAsia="宋体" w:cs="宋体"/>
                <w:color w:val="auto"/>
                <w:sz w:val="24"/>
                <w:szCs w:val="24"/>
                <w:u w:val="none"/>
                <w:lang w:eastAsia="zh-CN"/>
              </w:rPr>
            </w:pPr>
            <w:r>
              <w:rPr>
                <w:rFonts w:hint="eastAsia" w:ascii="宋体" w:hAnsi="宋体" w:cs="宋体"/>
                <w:color w:val="auto"/>
                <w:sz w:val="24"/>
                <w:szCs w:val="24"/>
                <w:u w:val="none"/>
                <w:lang w:eastAsia="zh-CN"/>
              </w:rPr>
              <w:t>联系人：</w:t>
            </w:r>
          </w:p>
        </w:tc>
      </w:tr>
      <w:tr w14:paraId="05FB6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4560" w:type="dxa"/>
            <w:noWrap w:val="0"/>
            <w:vAlign w:val="center"/>
          </w:tcPr>
          <w:p w14:paraId="60252D6C">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电话：0913-2158501</w:t>
            </w:r>
          </w:p>
        </w:tc>
        <w:tc>
          <w:tcPr>
            <w:tcW w:w="4843" w:type="dxa"/>
            <w:noWrap w:val="0"/>
            <w:vAlign w:val="center"/>
          </w:tcPr>
          <w:p w14:paraId="3494C57E">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default" w:ascii="宋体" w:hAnsi="宋体" w:eastAsia="宋体" w:cs="宋体"/>
                <w:color w:val="0000FF"/>
                <w:sz w:val="24"/>
                <w:szCs w:val="24"/>
                <w:u w:val="none"/>
                <w:vertAlign w:val="baseline"/>
                <w:lang w:val="en-US" w:eastAsia="zh-CN"/>
              </w:rPr>
            </w:pPr>
            <w:r>
              <w:rPr>
                <w:rFonts w:hint="eastAsia" w:ascii="宋体" w:hAnsi="宋体" w:eastAsia="宋体" w:cs="宋体"/>
                <w:color w:val="auto"/>
                <w:sz w:val="24"/>
                <w:szCs w:val="24"/>
                <w:highlight w:val="none"/>
                <w:u w:val="none"/>
              </w:rPr>
              <w:t>电话：</w:t>
            </w:r>
          </w:p>
        </w:tc>
      </w:tr>
      <w:tr w14:paraId="22B41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trPr>
        <w:tc>
          <w:tcPr>
            <w:tcW w:w="4560" w:type="dxa"/>
            <w:noWrap w:val="0"/>
            <w:vAlign w:val="center"/>
          </w:tcPr>
          <w:p w14:paraId="7D88C42F">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eastAsia" w:ascii="宋体" w:hAnsi="宋体" w:eastAsia="宋体" w:cs="宋体"/>
                <w:sz w:val="24"/>
                <w:szCs w:val="24"/>
                <w:vertAlign w:val="baseline"/>
              </w:rPr>
            </w:pPr>
            <w:r>
              <w:rPr>
                <w:rFonts w:hint="eastAsia" w:ascii="宋体" w:hAnsi="宋体" w:cs="宋体"/>
                <w:sz w:val="24"/>
                <w:szCs w:val="24"/>
                <w:vertAlign w:val="baseline"/>
                <w:lang w:eastAsia="zh-CN"/>
              </w:rPr>
              <w:t>开户银行：</w:t>
            </w:r>
            <w:r>
              <w:rPr>
                <w:rFonts w:hint="eastAsia" w:ascii="宋体" w:hAnsi="宋体" w:eastAsia="宋体" w:cs="宋体"/>
                <w:sz w:val="24"/>
                <w:szCs w:val="24"/>
                <w:vertAlign w:val="baseline"/>
              </w:rPr>
              <w:t xml:space="preserve">中国银行渭南分行 </w:t>
            </w:r>
          </w:p>
        </w:tc>
        <w:tc>
          <w:tcPr>
            <w:tcW w:w="4843" w:type="dxa"/>
            <w:noWrap w:val="0"/>
            <w:vAlign w:val="center"/>
          </w:tcPr>
          <w:p w14:paraId="44F89EE2">
            <w:pPr>
              <w:keepNext w:val="0"/>
              <w:keepLines w:val="0"/>
              <w:pageBreakBefore w:val="0"/>
              <w:widowControl w:val="0"/>
              <w:kinsoku/>
              <w:wordWrap/>
              <w:overflowPunct/>
              <w:topLinePunct w:val="0"/>
              <w:bidi w:val="0"/>
              <w:adjustRightInd/>
              <w:snapToGrid/>
              <w:spacing w:line="240" w:lineRule="auto"/>
              <w:ind w:left="0" w:leftChars="0" w:firstLine="0" w:firstLineChars="0"/>
              <w:jc w:val="both"/>
              <w:textAlignment w:val="auto"/>
              <w:rPr>
                <w:rFonts w:hint="eastAsia" w:ascii="宋体" w:hAnsi="宋体" w:eastAsia="宋体" w:cs="宋体"/>
                <w:color w:val="auto"/>
                <w:sz w:val="24"/>
                <w:szCs w:val="24"/>
                <w:u w:val="none"/>
                <w:vertAlign w:val="baseline"/>
              </w:rPr>
            </w:pPr>
            <w:r>
              <w:rPr>
                <w:rFonts w:hint="eastAsia" w:ascii="宋体" w:hAnsi="宋体" w:eastAsia="宋体" w:cs="宋体"/>
                <w:color w:val="auto"/>
                <w:sz w:val="24"/>
                <w:szCs w:val="24"/>
                <w:u w:val="none"/>
              </w:rPr>
              <w:t>开户银行：</w:t>
            </w:r>
          </w:p>
        </w:tc>
      </w:tr>
      <w:tr w14:paraId="495583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4560" w:type="dxa"/>
            <w:noWrap w:val="0"/>
            <w:vAlign w:val="center"/>
          </w:tcPr>
          <w:p w14:paraId="1633819E">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eastAsia" w:ascii="宋体" w:hAnsi="宋体" w:eastAsia="宋体" w:cs="宋体"/>
                <w:sz w:val="24"/>
                <w:szCs w:val="24"/>
                <w:vertAlign w:val="baseline"/>
              </w:rPr>
            </w:pPr>
            <w:r>
              <w:rPr>
                <w:rFonts w:hint="eastAsia" w:ascii="宋体" w:hAnsi="宋体" w:eastAsia="宋体" w:cs="宋体"/>
                <w:sz w:val="24"/>
                <w:szCs w:val="24"/>
                <w:vertAlign w:val="baseline"/>
              </w:rPr>
              <w:t>账号：102428371126</w:t>
            </w:r>
          </w:p>
        </w:tc>
        <w:tc>
          <w:tcPr>
            <w:tcW w:w="4843" w:type="dxa"/>
            <w:noWrap w:val="0"/>
            <w:vAlign w:val="center"/>
          </w:tcPr>
          <w:p w14:paraId="4C832FD6">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eastAsia" w:ascii="宋体" w:hAnsi="宋体" w:eastAsia="宋体" w:cs="宋体"/>
                <w:color w:val="auto"/>
                <w:sz w:val="24"/>
                <w:szCs w:val="24"/>
                <w:u w:val="none"/>
                <w:vertAlign w:val="baseline"/>
              </w:rPr>
            </w:pPr>
            <w:r>
              <w:rPr>
                <w:rFonts w:hint="eastAsia" w:ascii="宋体" w:hAnsi="宋体" w:eastAsia="宋体" w:cs="宋体"/>
                <w:color w:val="auto"/>
                <w:sz w:val="24"/>
                <w:szCs w:val="24"/>
                <w:u w:val="none"/>
              </w:rPr>
              <w:t>帐号：</w:t>
            </w:r>
          </w:p>
        </w:tc>
      </w:tr>
      <w:tr w14:paraId="728938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0" w:hRule="atLeast"/>
        </w:trPr>
        <w:tc>
          <w:tcPr>
            <w:tcW w:w="4560" w:type="dxa"/>
            <w:noWrap w:val="0"/>
            <w:vAlign w:val="center"/>
          </w:tcPr>
          <w:p w14:paraId="6170BFA9">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eastAsia" w:ascii="宋体" w:hAnsi="宋体" w:eastAsia="宋体" w:cs="宋体"/>
                <w:sz w:val="24"/>
                <w:szCs w:val="24"/>
                <w:vertAlign w:val="baseline"/>
              </w:rPr>
            </w:pPr>
            <w:r>
              <w:rPr>
                <w:rFonts w:hint="eastAsia" w:ascii="宋体" w:hAnsi="宋体" w:eastAsia="宋体" w:cs="宋体"/>
                <w:sz w:val="24"/>
                <w:szCs w:val="24"/>
                <w:lang w:val="en-US" w:eastAsia="zh-CN"/>
              </w:rPr>
              <w:t xml:space="preserve">日期：   </w:t>
            </w:r>
            <w:r>
              <w:rPr>
                <w:rFonts w:hint="eastAsia" w:hAnsi="宋体" w:cs="宋体"/>
                <w:sz w:val="24"/>
                <w:szCs w:val="24"/>
                <w:lang w:val="en-US" w:eastAsia="zh-CN"/>
              </w:rPr>
              <w:t xml:space="preserve"> </w:t>
            </w:r>
            <w:r>
              <w:rPr>
                <w:rFonts w:hint="eastAsia" w:ascii="宋体" w:hAnsi="宋体" w:eastAsia="宋体" w:cs="宋体"/>
                <w:sz w:val="24"/>
                <w:szCs w:val="24"/>
                <w:lang w:val="en-US" w:eastAsia="zh-CN"/>
              </w:rPr>
              <w:t xml:space="preserve">  年    月    日</w:t>
            </w:r>
          </w:p>
        </w:tc>
        <w:tc>
          <w:tcPr>
            <w:tcW w:w="4843" w:type="dxa"/>
            <w:noWrap w:val="0"/>
            <w:vAlign w:val="center"/>
          </w:tcPr>
          <w:p w14:paraId="7FF3D22D">
            <w:pPr>
              <w:keepNext w:val="0"/>
              <w:keepLines w:val="0"/>
              <w:pageBreakBefore w:val="0"/>
              <w:widowControl w:val="0"/>
              <w:kinsoku/>
              <w:wordWrap/>
              <w:overflowPunct/>
              <w:topLinePunct w:val="0"/>
              <w:bidi w:val="0"/>
              <w:adjustRightInd/>
              <w:snapToGrid/>
              <w:spacing w:line="560" w:lineRule="exact"/>
              <w:ind w:left="0" w:leftChars="0" w:firstLine="0" w:firstLineChars="0"/>
              <w:jc w:val="both"/>
              <w:textAlignment w:val="auto"/>
              <w:rPr>
                <w:rFonts w:hint="eastAsia" w:ascii="宋体" w:hAnsi="宋体" w:eastAsia="宋体" w:cs="宋体"/>
                <w:color w:val="auto"/>
                <w:sz w:val="24"/>
                <w:szCs w:val="24"/>
                <w:vertAlign w:val="baseline"/>
              </w:rPr>
            </w:pPr>
            <w:r>
              <w:rPr>
                <w:rFonts w:hint="eastAsia" w:ascii="宋体" w:hAnsi="宋体" w:eastAsia="宋体" w:cs="宋体"/>
                <w:color w:val="auto"/>
                <w:sz w:val="24"/>
                <w:szCs w:val="24"/>
                <w:lang w:val="en-US" w:eastAsia="zh-CN"/>
              </w:rPr>
              <w:t xml:space="preserve">日期：  </w:t>
            </w:r>
            <w:r>
              <w:rPr>
                <w:rFonts w:hint="eastAsia" w:hAnsi="宋体" w:cs="宋体"/>
                <w:color w:val="auto"/>
                <w:sz w:val="24"/>
                <w:szCs w:val="24"/>
                <w:lang w:val="en-US" w:eastAsia="zh-CN"/>
              </w:rPr>
              <w:t xml:space="preserve"> </w:t>
            </w:r>
            <w:r>
              <w:rPr>
                <w:rFonts w:hint="eastAsia" w:ascii="宋体" w:hAnsi="宋体" w:eastAsia="宋体" w:cs="宋体"/>
                <w:color w:val="auto"/>
                <w:sz w:val="24"/>
                <w:szCs w:val="24"/>
                <w:lang w:val="en-US" w:eastAsia="zh-CN"/>
              </w:rPr>
              <w:t xml:space="preserve">   年    月    日</w:t>
            </w:r>
          </w:p>
        </w:tc>
      </w:tr>
    </w:tbl>
    <w:p w14:paraId="2776B888">
      <w:pPr>
        <w:widowControl/>
        <w:adjustRightInd w:val="0"/>
        <w:snapToGrid w:val="0"/>
        <w:spacing w:line="360" w:lineRule="auto"/>
        <w:ind w:firstLine="480" w:firstLineChars="200"/>
        <w:jc w:val="left"/>
        <w:rPr>
          <w:sz w:val="24"/>
          <w:szCs w:val="24"/>
        </w:rPr>
      </w:pPr>
    </w:p>
    <w:bookmarkEnd w:id="3"/>
    <w:bookmarkEnd w:id="4"/>
    <w:p w14:paraId="6307A320">
      <w:pPr>
        <w:rPr>
          <w:sz w:val="24"/>
          <w:szCs w:val="24"/>
        </w:rPr>
      </w:pPr>
    </w:p>
    <w:sectPr>
      <w:pgSz w:w="11906" w:h="16838"/>
      <w:pgMar w:top="1417" w:right="1417" w:bottom="1417" w:left="1417" w:header="851" w:footer="992" w:gutter="0"/>
      <w:pgBorders>
        <w:top w:val="none" w:sz="0" w:space="0"/>
        <w:left w:val="none" w:sz="0" w:space="0"/>
        <w:bottom w:val="none" w:sz="0" w:space="0"/>
        <w:right w:val="none" w:sz="0" w:space="0"/>
      </w:pgBorders>
      <w:pgNumType w:fmt="decimal" w:start="1"/>
      <w:cols w:space="72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4CFAD3">
    <w:pPr>
      <w:pStyle w:val="5"/>
      <w:ind w:right="360"/>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D97B06">
    <w:pPr>
      <w:pStyle w:val="5"/>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10E07EA8">
                          <w:pPr>
                            <w:pStyle w:val="5"/>
                            <w:rPr>
                              <w:rStyle w:val="10"/>
                            </w:rPr>
                          </w:pPr>
                          <w:r>
                            <w:rPr>
                              <w:rStyle w:val="10"/>
                            </w:rPr>
                            <w:fldChar w:fldCharType="begin"/>
                          </w:r>
                          <w:r>
                            <w:rPr>
                              <w:rStyle w:val="10"/>
                            </w:rPr>
                            <w:instrText xml:space="preserve">PAGE  </w:instrText>
                          </w:r>
                          <w:r>
                            <w:rPr>
                              <w:rStyle w:val="10"/>
                            </w:rPr>
                            <w:fldChar w:fldCharType="separate"/>
                          </w:r>
                          <w:r>
                            <w:rPr>
                              <w:rStyle w:val="10"/>
                            </w:rPr>
                            <w:t>58</w:t>
                          </w:r>
                          <w:r>
                            <w:rPr>
                              <w:rStyle w:val="10"/>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10E07EA8">
                    <w:pPr>
                      <w:pStyle w:val="5"/>
                      <w:rPr>
                        <w:rStyle w:val="10"/>
                      </w:rPr>
                    </w:pPr>
                    <w:r>
                      <w:rPr>
                        <w:rStyle w:val="10"/>
                      </w:rPr>
                      <w:fldChar w:fldCharType="begin"/>
                    </w:r>
                    <w:r>
                      <w:rPr>
                        <w:rStyle w:val="10"/>
                      </w:rPr>
                      <w:instrText xml:space="preserve">PAGE  </w:instrText>
                    </w:r>
                    <w:r>
                      <w:rPr>
                        <w:rStyle w:val="10"/>
                      </w:rPr>
                      <w:fldChar w:fldCharType="separate"/>
                    </w:r>
                    <w:r>
                      <w:rPr>
                        <w:rStyle w:val="10"/>
                      </w:rPr>
                      <w:t>58</w:t>
                    </w:r>
                    <w:r>
                      <w:rPr>
                        <w:rStyle w:val="10"/>
                      </w:rPr>
                      <w:fldChar w:fldCharType="end"/>
                    </w:r>
                  </w:p>
                </w:txbxContent>
              </v:textbox>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7727E2">
    <w:pPr>
      <w:pStyle w:val="6"/>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847876"/>
    <w:multiLevelType w:val="singleLevel"/>
    <w:tmpl w:val="B8847876"/>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1D04ED"/>
    <w:rsid w:val="05656433"/>
    <w:rsid w:val="05926AFC"/>
    <w:rsid w:val="095E380A"/>
    <w:rsid w:val="099C43EE"/>
    <w:rsid w:val="0A4B02AF"/>
    <w:rsid w:val="0CE9794A"/>
    <w:rsid w:val="10754D0F"/>
    <w:rsid w:val="1CC82FC3"/>
    <w:rsid w:val="1EFF3A76"/>
    <w:rsid w:val="20410142"/>
    <w:rsid w:val="2B492F35"/>
    <w:rsid w:val="32314BFF"/>
    <w:rsid w:val="33020D2D"/>
    <w:rsid w:val="358024EC"/>
    <w:rsid w:val="36CF0548"/>
    <w:rsid w:val="3B98458E"/>
    <w:rsid w:val="412A78EC"/>
    <w:rsid w:val="44896D41"/>
    <w:rsid w:val="45365CE4"/>
    <w:rsid w:val="47305B9A"/>
    <w:rsid w:val="4B0D60AB"/>
    <w:rsid w:val="55C0633B"/>
    <w:rsid w:val="64A51246"/>
    <w:rsid w:val="6B9B737D"/>
    <w:rsid w:val="711648F2"/>
    <w:rsid w:val="71D90A58"/>
    <w:rsid w:val="75B848B9"/>
    <w:rsid w:val="78DD5585"/>
    <w:rsid w:val="79DD64D2"/>
    <w:rsid w:val="7AD06857"/>
    <w:rsid w:val="7B1A5D9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3">
    <w:name w:val="annotation text"/>
    <w:basedOn w:val="1"/>
    <w:uiPriority w:val="0"/>
    <w:pPr>
      <w:jc w:val="left"/>
    </w:pPr>
  </w:style>
  <w:style w:type="paragraph" w:styleId="4">
    <w:name w:val="Body Text"/>
    <w:basedOn w:val="1"/>
    <w:next w:val="1"/>
    <w:qFormat/>
    <w:uiPriority w:val="0"/>
    <w:pPr>
      <w:spacing w:after="120" w:afterLines="0" w:afterAutospacing="0"/>
    </w:pPr>
  </w:style>
  <w:style w:type="paragraph" w:styleId="5">
    <w:name w:val="footer"/>
    <w:basedOn w:val="1"/>
    <w:qFormat/>
    <w:uiPriority w:val="99"/>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qFormat/>
    <w:uiPriority w:val="0"/>
  </w:style>
  <w:style w:type="paragraph" w:customStyle="1" w:styleId="11">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3220</Words>
  <Characters>3321</Characters>
  <Lines>0</Lines>
  <Paragraphs>0</Paragraphs>
  <TotalTime>396</TotalTime>
  <ScaleCrop>false</ScaleCrop>
  <LinksUpToDate>false</LinksUpToDate>
  <CharactersWithSpaces>3444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南柯一梦</cp:lastModifiedBy>
  <dcterms:modified xsi:type="dcterms:W3CDTF">2025-12-08T09:41:47Z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D5A3C196377B465589AD2F6AA4AF9A3C_13</vt:lpwstr>
  </property>
  <property fmtid="{D5CDD505-2E9C-101B-9397-08002B2CF9AE}" pid="4" name="KSOTemplateDocerSaveRecord">
    <vt:lpwstr>eyJoZGlkIjoiZTYwZWMzZTM2YWE0NjlmYWM5Mzk3ZjU1YTk4NzA0ZDAiLCJ1c2VySWQiOiI1NDExODg2NzgifQ==</vt:lpwstr>
  </property>
</Properties>
</file>