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版本号：ZCSP-渭南市-2025-0086520251205001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渭南市机动车尾气排放监管平台升级改造项目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ZCSP-渭南市-2025-00865</w:t>
      </w:r>
      <w:r>
        <w:br/>
      </w:r>
      <w:r>
        <w:br/>
      </w:r>
      <w:r>
        <w:br/>
      </w:r>
    </w:p>
    <w:p>
      <w:pPr>
        <w:pStyle w:val="null3"/>
        <w:jc w:val="center"/>
        <w:outlineLvl w:val="2"/>
      </w:pPr>
      <w:r>
        <w:rPr>
          <w:rFonts w:ascii="仿宋_GB2312" w:hAnsi="仿宋_GB2312" w:cs="仿宋_GB2312" w:eastAsia="仿宋_GB2312"/>
          <w:sz w:val="28"/>
          <w:b/>
        </w:rPr>
        <w:t>渭南市环境科学研究中心</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渭南市环境科学研究中心</w:t>
      </w:r>
      <w:r>
        <w:rPr>
          <w:rFonts w:ascii="仿宋_GB2312" w:hAnsi="仿宋_GB2312" w:cs="仿宋_GB2312" w:eastAsia="仿宋_GB2312"/>
        </w:rPr>
        <w:t>委托，拟对</w:t>
      </w:r>
      <w:r>
        <w:rPr>
          <w:rFonts w:ascii="仿宋_GB2312" w:hAnsi="仿宋_GB2312" w:cs="仿宋_GB2312" w:eastAsia="仿宋_GB2312"/>
        </w:rPr>
        <w:t>渭南市机动车尾气排放监管平台升级改造项目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渭南市机动车尾气排放监管平台升级改造项目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机动车排放定期检验规范等新标准要求，对原有渭南市机动车尾气排放监管平台进行升级，升级内容包括整体架构升级、落实I/M制度闭环管控升级、检验行为规范升级、检测数据规范性审核开发、视频监控服务升级，满足新标准的功能添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采购包1（渭南市机动车尾气排放监管平台升级改造项目）：属于专门面向中小企业采购。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委托书/法人身份证明书：法定代表人参与磋商时需提供法定代表人身份证明书（附法定代表人身份证复印件）；被授权人参与磋商时需提供法人身份证明书及法定代表人授权委托书（附法定代表人及被授权人身份证复印件）</w:t>
      </w:r>
    </w:p>
    <w:p>
      <w:pPr>
        <w:pStyle w:val="null3"/>
      </w:pPr>
      <w:r>
        <w:rPr>
          <w:rFonts w:ascii="仿宋_GB2312" w:hAnsi="仿宋_GB2312" w:cs="仿宋_GB2312" w:eastAsia="仿宋_GB2312"/>
        </w:rPr>
        <w:t>2、磋商保证金：磋商保证金交纳凭证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渭南市环境科学研究中心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渭南市朝阳大街中段市环保局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0913-2072972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渭南市环境科学研究中心</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渭南市环境科学研究中心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渭南市环境科学研究中心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1.系统平台建设需满足环保系统管理要求。 2.所供服务能力的规格、数量符合采购文件投标人承诺及采购合同约定的要求。 3.在运维期间内，项目中涉及的系统软件免费升级，需负责全部升级工作，以保证不影响系统的运行。不管是在保修期内还是保修期外，免费为采购人提供技术咨询服务，这其中包括：新技术咨询、配置调整、故障解决等。 4.本项目由采购人及相关部门对项目进行验收。 5.供应商承诺及采购合同约定的附件、技术资料等齐全；提供安全工具的使用说明书、合格证等。 6.验收标准：按磋商文件、响应文件、项目交付情况等综合指标进行验收。各项指标均应符合验收标准及要求。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联系人：李绒</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机动车排放定期检验规范等新标准要求，对原有渭南市机动车尾气排放监管平台进行升级，升级内容包括整体架构升级、落实I/M制度闭环管控升级、检验行为规范升级、检测数据规范性审核开发、视频监控服务升级，满足新标准的功能添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735,000.00</w:t>
      </w:r>
    </w:p>
    <w:p>
      <w:pPr>
        <w:pStyle w:val="null3"/>
      </w:pPr>
      <w:r>
        <w:rPr>
          <w:rFonts w:ascii="仿宋_GB2312" w:hAnsi="仿宋_GB2312" w:cs="仿宋_GB2312" w:eastAsia="仿宋_GB2312"/>
        </w:rPr>
        <w:t>采购包最高限价（元）: 735,000.00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渭南市机动车尾气排放监管平台升级改造服务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标的名称：渭南市机动车尾气排放监管平台升级改造服务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3"/>
              <w:jc w:val="both"/>
            </w:pPr>
            <w:r>
              <w:rPr>
                <w:rFonts w:ascii="仿宋_GB2312" w:hAnsi="仿宋_GB2312" w:cs="仿宋_GB2312" w:eastAsia="仿宋_GB2312"/>
                <w:sz w:val="32"/>
                <w:b/>
              </w:rPr>
              <w:t>1、</w:t>
            </w:r>
            <w:r>
              <w:rPr>
                <w:rFonts w:ascii="仿宋_GB2312" w:hAnsi="仿宋_GB2312" w:cs="仿宋_GB2312" w:eastAsia="仿宋_GB2312"/>
                <w:sz w:val="32"/>
                <w:b/>
              </w:rPr>
              <w:t>项目概况</w:t>
            </w:r>
          </w:p>
          <w:p>
            <w:pPr>
              <w:pStyle w:val="null3"/>
              <w:ind w:firstLine="640"/>
              <w:jc w:val="both"/>
            </w:pPr>
            <w:r>
              <w:rPr>
                <w:rFonts w:ascii="仿宋_GB2312" w:hAnsi="仿宋_GB2312" w:cs="仿宋_GB2312" w:eastAsia="仿宋_GB2312"/>
                <w:sz w:val="32"/>
              </w:rPr>
              <w:t>根据机动车排放定期检验规范等新标准要求，对原有渭南市机动车尾气排放监管平台进行升级，升级内容包括整体架构升级、落实I/M制度闭环管控升级、检验行为规范升级、检测数据规范性审核开发、视频监控服务升级，满足新标准的功能添加。</w:t>
            </w:r>
          </w:p>
          <w:p>
            <w:pPr>
              <w:pStyle w:val="null3"/>
              <w:ind w:firstLine="643"/>
              <w:jc w:val="both"/>
            </w:pPr>
            <w:r>
              <w:rPr>
                <w:rFonts w:ascii="仿宋_GB2312" w:hAnsi="仿宋_GB2312" w:cs="仿宋_GB2312" w:eastAsia="仿宋_GB2312"/>
                <w:sz w:val="32"/>
                <w:b/>
              </w:rPr>
              <w:t>2、</w:t>
            </w:r>
            <w:r>
              <w:rPr>
                <w:rFonts w:ascii="仿宋_GB2312" w:hAnsi="仿宋_GB2312" w:cs="仿宋_GB2312" w:eastAsia="仿宋_GB2312"/>
                <w:sz w:val="32"/>
                <w:b/>
              </w:rPr>
              <w:t>服务内容</w:t>
            </w:r>
            <w:r>
              <w:rPr>
                <w:rFonts w:ascii="仿宋_GB2312" w:hAnsi="仿宋_GB2312" w:cs="仿宋_GB2312" w:eastAsia="仿宋_GB2312"/>
                <w:sz w:val="21"/>
                <w:b/>
              </w:rPr>
              <w:t xml:space="preserve"> </w:t>
            </w:r>
          </w:p>
          <w:tbl>
            <w:tblPr>
              <w:tblBorders>
                <w:top w:val="none" w:color="000000" w:sz="4"/>
                <w:left w:val="none" w:color="000000" w:sz="4"/>
                <w:bottom w:val="none" w:color="000000" w:sz="4"/>
                <w:right w:val="none" w:color="000000" w:sz="4"/>
                <w:insideH w:val="none"/>
                <w:insideV w:val="none"/>
              </w:tblBorders>
            </w:tblPr>
            <w:tblGrid>
              <w:gridCol w:w="257"/>
              <w:gridCol w:w="439"/>
              <w:gridCol w:w="545"/>
              <w:gridCol w:w="260"/>
              <w:gridCol w:w="1052"/>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模块类别</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名称</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10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内容</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整体架构</w:t>
                  </w:r>
                </w:p>
                <w:p>
                  <w:pPr>
                    <w:pStyle w:val="null3"/>
                    <w:jc w:val="center"/>
                  </w:pPr>
                  <w:r>
                    <w:rPr>
                      <w:rFonts w:ascii="仿宋_GB2312" w:hAnsi="仿宋_GB2312" w:cs="仿宋_GB2312" w:eastAsia="仿宋_GB2312"/>
                      <w:sz w:val="28"/>
                      <w:color w:val="000000"/>
                    </w:rPr>
                    <w:t>升级</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系统架构升级</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满足业务增长需要，解决平台老旧卡顿等问题</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界面升级</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开发新界面以满足业务需求及新架构的应用</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满足新标准升级</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检测流程管理升级</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根据标准要求实现OBD、外检流程升级</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设备自检管理升级</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实现检测机构设备自检数据接收校验，对未按标准执行检测线进行管控</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数据传输协议升级</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满足新标准联网协议升级与技术文档编制，并完成与51个检测机构联网调试</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落实I/M制度闭环管控升级</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系统统一检测超标治理联网规则校验</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实现I/M数据交换，新增OBD、外检超标治理数据交换</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系统建立市级维修企业白名单库与M站名录库</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实现M站名录库与企业白名单库实时更新，增加机构查验</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系统开发I/M全闭环流程监管功能</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实现完全满足最新I/M联网闭环流程管控</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满足省级监管平台监管要求上传I/M相关数据</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实现与省级监管平台的上行与下行数据交换</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检验行为规范升级</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设备标定流程管理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根据标准对机构检测设备标定进行周期性检查管理</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11</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外检管理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根据标准对外观检验数据、报告、流程、传输进行管理</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检验方法管理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根据标准对不同车辆类型检验方法进行监管</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标准物质管理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根据标准新增标准物质上传，对检测机构标准物质进行管理</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14</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双燃料检验管理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解决双燃料车车辆基本信息覆盖及报告同时打印功能</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检测数据规范性审核开发</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OBD过程数据管理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针对标准及检查发现的问题，对OBD过程数据进行自动管控与预警</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16</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检验过程零恒值监控预警</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针对标准及检查发现的问题，对过程数据异常进行预警与管控</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17</w:t>
                  </w: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视频监控服务升级</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新增视频监控平台</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包含1000路授权数</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检测视频实时预览</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根据标准要求升级预览功能，同时对市级、省级提供预览调阅</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19</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检测视频历史回放下载</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提供历史视频调阅与下载，为执法检查提供证据</w:t>
                  </w:r>
                  <w:r>
                    <w:rPr>
                      <w:rFonts w:ascii="仿宋_GB2312" w:hAnsi="仿宋_GB2312" w:cs="仿宋_GB2312" w:eastAsia="仿宋_GB2312"/>
                      <w:sz w:val="28"/>
                      <w:color w:val="000000"/>
                    </w:rPr>
                    <w:t>。</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439"/>
                  <w:vMerge/>
                  <w:tcBorders>
                    <w:top w:val="none" w:color="000000" w:sz="4"/>
                    <w:left w:val="non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新增环检操作区监控</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1项</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集成137条检测线前后固定、移动、操作间工位、显示器、分析仪等约700路监控视频画面，统一配置视频参数及录像存储计划等。</w:t>
                  </w:r>
                </w:p>
              </w:tc>
            </w:tr>
          </w:tbl>
          <w:p>
            <w:pPr>
              <w:pStyle w:val="null3"/>
              <w:ind w:firstLine="643"/>
              <w:jc w:val="both"/>
            </w:pPr>
            <w:r>
              <w:rPr>
                <w:rFonts w:ascii="仿宋_GB2312" w:hAnsi="仿宋_GB2312" w:cs="仿宋_GB2312" w:eastAsia="仿宋_GB2312"/>
                <w:sz w:val="32"/>
                <w:b/>
              </w:rPr>
              <w:t>3、服务</w:t>
            </w:r>
            <w:r>
              <w:rPr>
                <w:rFonts w:ascii="仿宋_GB2312" w:hAnsi="仿宋_GB2312" w:cs="仿宋_GB2312" w:eastAsia="仿宋_GB2312"/>
                <w:sz w:val="32"/>
                <w:b/>
              </w:rPr>
              <w:t>具体</w:t>
            </w:r>
            <w:r>
              <w:rPr>
                <w:rFonts w:ascii="仿宋_GB2312" w:hAnsi="仿宋_GB2312" w:cs="仿宋_GB2312" w:eastAsia="仿宋_GB2312"/>
                <w:sz w:val="32"/>
                <w:b/>
              </w:rPr>
              <w:t>要求</w:t>
            </w:r>
          </w:p>
          <w:p>
            <w:pPr>
              <w:pStyle w:val="null3"/>
              <w:ind w:firstLine="640"/>
              <w:jc w:val="both"/>
            </w:pPr>
            <w:r>
              <w:rPr>
                <w:rFonts w:ascii="仿宋_GB2312" w:hAnsi="仿宋_GB2312" w:cs="仿宋_GB2312" w:eastAsia="仿宋_GB2312"/>
                <w:sz w:val="32"/>
              </w:rPr>
              <w:t>（1）满足生态环境部国家标准和环境标准的要求，符合信息采集传输技术规范，包括《柴油车污染物排放限值及测量方法（自由加速法及加载减速法）》（GB 3847-2018）、《汽油车污染物排放限值及测量方法（双怠速法及简易工况法）》（GB 18285-2018）、《机动车排放定期检验规范》（HJ 1237-2021）、《汽车排放定期检验信息采集传输技术规范》（HJ 1238-2021）等强制性要求，同时对机动车检验过程、结果数据进行合规性分析，对异常检验数据及时锁定，加强机动车排放检验非现场监管能力。</w:t>
            </w:r>
          </w:p>
          <w:p>
            <w:pPr>
              <w:pStyle w:val="null3"/>
              <w:ind w:firstLine="640"/>
              <w:jc w:val="both"/>
            </w:pPr>
            <w:r>
              <w:rPr>
                <w:rFonts w:ascii="仿宋_GB2312" w:hAnsi="仿宋_GB2312" w:cs="仿宋_GB2312" w:eastAsia="仿宋_GB2312"/>
                <w:sz w:val="32"/>
              </w:rPr>
              <w:t>（2）工作要求：成果通过审查，按审查意见修改形成最终报告，并通过合同验收。</w:t>
            </w:r>
          </w:p>
          <w:p>
            <w:pPr>
              <w:pStyle w:val="null3"/>
              <w:ind w:firstLine="643"/>
              <w:jc w:val="both"/>
            </w:pPr>
            <w:r>
              <w:rPr>
                <w:rFonts w:ascii="仿宋_GB2312" w:hAnsi="仿宋_GB2312" w:cs="仿宋_GB2312" w:eastAsia="仿宋_GB2312"/>
                <w:sz w:val="32"/>
                <w:b/>
              </w:rPr>
              <w:t>4、项目实施要求</w:t>
            </w:r>
          </w:p>
          <w:p>
            <w:pPr>
              <w:pStyle w:val="null3"/>
              <w:ind w:firstLine="640"/>
              <w:jc w:val="both"/>
            </w:pPr>
            <w:r>
              <w:rPr>
                <w:rFonts w:ascii="仿宋_GB2312" w:hAnsi="仿宋_GB2312" w:cs="仿宋_GB2312" w:eastAsia="仿宋_GB2312"/>
                <w:sz w:val="32"/>
              </w:rPr>
              <w:t>（1）系统业务功能建设模块要求完整、设计合理、科学。</w:t>
            </w:r>
          </w:p>
          <w:p>
            <w:pPr>
              <w:pStyle w:val="null3"/>
              <w:ind w:firstLine="640"/>
              <w:jc w:val="both"/>
            </w:pPr>
            <w:r>
              <w:rPr>
                <w:rFonts w:ascii="仿宋_GB2312" w:hAnsi="仿宋_GB2312" w:cs="仿宋_GB2312" w:eastAsia="仿宋_GB2312"/>
                <w:sz w:val="32"/>
              </w:rPr>
              <w:t>（2）系统平台运维服务，</w:t>
            </w:r>
            <w:r>
              <w:rPr>
                <w:rFonts w:ascii="仿宋_GB2312" w:hAnsi="仿宋_GB2312" w:cs="仿宋_GB2312" w:eastAsia="仿宋_GB2312"/>
                <w:sz w:val="32"/>
              </w:rPr>
              <w:t>成交供应商</w:t>
            </w:r>
            <w:r>
              <w:rPr>
                <w:rFonts w:ascii="仿宋_GB2312" w:hAnsi="仿宋_GB2312" w:cs="仿宋_GB2312" w:eastAsia="仿宋_GB2312"/>
                <w:sz w:val="32"/>
              </w:rPr>
              <w:t>负责平台总体的日常检查、维护。</w:t>
            </w:r>
          </w:p>
          <w:p>
            <w:pPr>
              <w:pStyle w:val="null3"/>
              <w:ind w:firstLine="640"/>
              <w:jc w:val="both"/>
            </w:pPr>
            <w:r>
              <w:rPr>
                <w:rFonts w:ascii="仿宋_GB2312" w:hAnsi="仿宋_GB2312" w:cs="仿宋_GB2312" w:eastAsia="仿宋_GB2312"/>
                <w:sz w:val="32"/>
              </w:rPr>
              <w:t>（3）常规巡检要对问题及时发现、及时提交并处理。</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成交供应商</w:t>
            </w:r>
            <w:r>
              <w:rPr>
                <w:rFonts w:ascii="仿宋_GB2312" w:hAnsi="仿宋_GB2312" w:cs="仿宋_GB2312" w:eastAsia="仿宋_GB2312"/>
                <w:sz w:val="32"/>
              </w:rPr>
              <w:t>向采购人提供全方位的技术服务，在项目实施的各个阶段中，项目工程师提供7*24小时的电话服务支持，接到用户电话后，在2小时内响应，24小时以内解决问题，以保障采购人的正常使用。</w:t>
            </w:r>
          </w:p>
          <w:p>
            <w:pPr>
              <w:pStyle w:val="null3"/>
              <w:ind w:firstLine="640"/>
              <w:jc w:val="both"/>
            </w:pPr>
            <w:r>
              <w:rPr>
                <w:rFonts w:ascii="仿宋_GB2312" w:hAnsi="仿宋_GB2312" w:cs="仿宋_GB2312" w:eastAsia="仿宋_GB2312"/>
                <w:sz w:val="32"/>
              </w:rPr>
              <w:t>（5）系统验收完成后，需要对本项目提供详细的系统使用培训服务，提供详尽的培训方案及培训计划，并列出培训的具体内容及方式，确保使用人员能够独立熟练操作、维护和正常使用。</w:t>
            </w:r>
          </w:p>
          <w:p>
            <w:pPr>
              <w:pStyle w:val="null3"/>
              <w:ind w:firstLine="640"/>
              <w:jc w:val="both"/>
            </w:pPr>
            <w:r>
              <w:rPr>
                <w:rFonts w:ascii="仿宋_GB2312" w:hAnsi="仿宋_GB2312" w:cs="仿宋_GB2312" w:eastAsia="仿宋_GB2312"/>
                <w:sz w:val="24"/>
              </w:rPr>
              <w:t>5、服务质量标准</w:t>
            </w:r>
          </w:p>
          <w:p>
            <w:pPr>
              <w:pStyle w:val="null3"/>
              <w:ind w:firstLine="640"/>
              <w:jc w:val="both"/>
            </w:pPr>
            <w:r>
              <w:rPr>
                <w:rFonts w:ascii="仿宋_GB2312" w:hAnsi="仿宋_GB2312" w:cs="仿宋_GB2312" w:eastAsia="仿宋_GB2312"/>
                <w:sz w:val="24"/>
              </w:rPr>
              <w:t>合格，并参照以下标准执行：</w:t>
            </w:r>
          </w:p>
          <w:p>
            <w:pPr>
              <w:pStyle w:val="null3"/>
              <w:ind w:firstLine="640"/>
              <w:jc w:val="both"/>
            </w:pPr>
            <w:r>
              <w:rPr>
                <w:rFonts w:ascii="仿宋_GB2312" w:hAnsi="仿宋_GB2312" w:cs="仿宋_GB2312" w:eastAsia="仿宋_GB2312"/>
                <w:sz w:val="24"/>
              </w:rPr>
              <w:t>《柴油车污染物排放限值及测量方法（自由加速法及加载减速法）》</w:t>
            </w:r>
          </w:p>
          <w:p>
            <w:pPr>
              <w:pStyle w:val="null3"/>
              <w:ind w:firstLine="640"/>
              <w:jc w:val="both"/>
            </w:pPr>
            <w:r>
              <w:rPr>
                <w:rFonts w:ascii="仿宋_GB2312" w:hAnsi="仿宋_GB2312" w:cs="仿宋_GB2312" w:eastAsia="仿宋_GB2312"/>
                <w:sz w:val="24"/>
              </w:rPr>
              <w:t>《汽油车污染物排放限值及测量方法（双怠速法及简易工况法）》《机动车排放定期检验规范》</w:t>
            </w:r>
          </w:p>
          <w:p>
            <w:pPr>
              <w:pStyle w:val="null3"/>
              <w:ind w:firstLine="640"/>
              <w:jc w:val="both"/>
            </w:pPr>
            <w:r>
              <w:rPr>
                <w:rFonts w:ascii="仿宋_GB2312" w:hAnsi="仿宋_GB2312" w:cs="仿宋_GB2312" w:eastAsia="仿宋_GB2312"/>
                <w:sz w:val="24"/>
              </w:rPr>
              <w:t>《汽车排放定期检验信息采集传输技术规范》（HJ 1238-2021）</w:t>
            </w:r>
          </w:p>
          <w:p>
            <w:pPr>
              <w:pStyle w:val="null3"/>
              <w:ind w:firstLine="640"/>
              <w:jc w:val="both"/>
            </w:pPr>
            <w:r>
              <w:rPr>
                <w:rFonts w:ascii="仿宋_GB2312" w:hAnsi="仿宋_GB2312" w:cs="仿宋_GB2312" w:eastAsia="仿宋_GB2312"/>
                <w:sz w:val="24"/>
              </w:rPr>
              <w:t>《在用机动车排放检验信息系统及联网规范（试行）》</w:t>
            </w:r>
          </w:p>
          <w:p>
            <w:pPr>
              <w:pStyle w:val="null3"/>
              <w:ind w:firstLine="640"/>
              <w:jc w:val="both"/>
            </w:pPr>
            <w:r>
              <w:rPr>
                <w:rFonts w:ascii="仿宋_GB2312" w:hAnsi="仿宋_GB2312" w:cs="仿宋_GB2312" w:eastAsia="仿宋_GB2312"/>
                <w:sz w:val="24"/>
              </w:rPr>
              <w:t>《车用压燃式发动机和压燃式发动机汽车排气烟度排放限值及测量方法》（GB 3847－2005）</w:t>
            </w:r>
          </w:p>
          <w:p>
            <w:pPr>
              <w:pStyle w:val="null3"/>
              <w:ind w:firstLine="640"/>
              <w:jc w:val="both"/>
            </w:pPr>
            <w:r>
              <w:rPr>
                <w:rFonts w:ascii="仿宋_GB2312" w:hAnsi="仿宋_GB2312" w:cs="仿宋_GB2312" w:eastAsia="仿宋_GB2312"/>
                <w:sz w:val="24"/>
              </w:rPr>
              <w:t>《点燃式发动机汽车排气污染物排放限值及测量方法（双怠速法及简易工况法）》（GB 18285－2005）</w:t>
            </w:r>
          </w:p>
          <w:p>
            <w:pPr>
              <w:pStyle w:val="null3"/>
              <w:ind w:firstLine="640"/>
              <w:jc w:val="both"/>
            </w:pPr>
            <w:r>
              <w:rPr>
                <w:rFonts w:ascii="仿宋_GB2312" w:hAnsi="仿宋_GB2312" w:cs="仿宋_GB2312" w:eastAsia="仿宋_GB2312"/>
                <w:sz w:val="24"/>
              </w:rPr>
              <w:t>其他相关的国家现行有关设计规范、规程和地方法规、标准。</w:t>
            </w:r>
          </w:p>
          <w:p>
            <w:pPr>
              <w:pStyle w:val="null3"/>
              <w:ind w:firstLine="64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项目人员配备合理，岗位职责明确，满足项目实施要求。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1.在服务范围内按工作内容和要求制定详细的方案，方案科学、合理、可靠。 2.人员配备合理。有针对本项目的专项服务小组，项目负责人、工作人员分工明确。 3.所供服务能力、所需硬件设备数量、规格符合采购文件要求及采购合同约定的要求。 4.所有基础网络及系统升级完成并安装调试完毕。</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1.系统平台建设需满足环保系统管理要求。 2.所供服务能力的规格、数量符合采购文件投标人承诺及采购合同约定的要求。 3.在运维期间内，项目中涉及的系统软件免费升级，需负责全部升级工作，以保证不影响系统的运行。不管是在保修期内还是保修期外，免费为采购人提供技术咨询服务，这其中包括：新技术咨询、配置调整、故障解决等。 4.本项目由采购人及相关部门对项目进行验收。 5.供应商承诺及采购合同约定的附件、技术资料等齐全；提供安全工具的使用说明书、合格证等。 6.验收标准：按磋商文件、响应文件、项目交付情况等综合指标进行验收。各项指标均应符合验收标准及要求。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合同签订后，采购人支付合同总价款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系统搭建调试全部完成并验收合格，采购人投入正常使用后支付剩余合同总价款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的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2.根据《政府采购法实施条例》释义，银行、保险、石油石化、电力、电信等有行业特殊情况的，允许法人的分支机构参加政府采购活动。 3.根据关于印发中小企业划型标准规定的通知 （工信部联企业〔2011〕300号）中小企业划型标准规定：（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企业法人应提供统一社会信用代码的营业执照；</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可根据本磋商文件格式要求出具承诺函，成交供应商的承诺函同成交结果一并公示（承诺函格式详见附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本项目专门面向中小企业采购，供应商应为中型、小型或微型企业；本项目所属行业：软件和信息技术服务业。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法人授权委托书/法人身份证明书</w:t>
            </w:r>
          </w:p>
        </w:tc>
        <w:tc>
          <w:tcPr>
            <w:tcW w:type="dxa" w:w="3322"/>
          </w:tcPr>
          <w:p>
            <w:pPr>
              <w:pStyle w:val="null3"/>
            </w:pPr>
            <w:r>
              <w:rPr>
                <w:rFonts w:ascii="仿宋_GB2312" w:hAnsi="仿宋_GB2312" w:cs="仿宋_GB2312" w:eastAsia="仿宋_GB2312"/>
              </w:rPr>
              <w:t>法定代表人参与磋商时需提供法定代表人身份证明书（附法定代表人身份证复印件）；被授权人参与磋商时需提供法人身份证明书及法定代表人授权委托书（附法定代表人及被授权人身份证复印件）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磋商报价只有一个有效报价，未超出最高限价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对服务内容响应程度</w:t>
            </w:r>
          </w:p>
        </w:tc>
        <w:tc>
          <w:tcPr>
            <w:tcW w:type="dxa" w:w="3322"/>
          </w:tcPr>
          <w:p>
            <w:pPr>
              <w:pStyle w:val="null3"/>
            </w:pPr>
            <w:r>
              <w:rPr>
                <w:rFonts w:ascii="仿宋_GB2312" w:hAnsi="仿宋_GB2312" w:cs="仿宋_GB2312" w:eastAsia="仿宋_GB2312"/>
              </w:rPr>
              <w:t>满足磋商文件实质性服务技术及商务要求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分项报价表.docx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（一）评审内容：包含①项目需求理解；②各业务模块系统建设分析；③系统保障部署方案；④进度计划及组织保障措施。 （二）评审标准：每一条评审内容无缺陷得4分，满分16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系统保障措施</w:t>
            </w:r>
          </w:p>
        </w:tc>
        <w:tc>
          <w:tcPr>
            <w:tcW w:type="dxa" w:w="2492"/>
          </w:tcPr>
          <w:p>
            <w:pPr>
              <w:pStyle w:val="null3"/>
            </w:pPr>
            <w:r>
              <w:rPr>
                <w:rFonts w:ascii="仿宋_GB2312" w:hAnsi="仿宋_GB2312" w:cs="仿宋_GB2312" w:eastAsia="仿宋_GB2312"/>
              </w:rPr>
              <w:t>（一）评审内容：包含①系统架构的先进性保障措施；②系统平台功能层次清楚，结构合理保障措施；③系统安全性保障措施；④系统可扩展性保障措施。 （二）评审标准：每一条评审内容无缺陷得4分，满分16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（一）评审内容：包含①系统定期升级、优化方案；②系统定期维护方案；③系统可扩展性保障措施；④运维服务人员安排。 （二）评审标准：每一条评审内容无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（一）评审内容：包含①售后服务机构情况及内容；②售后服务人员安排；③售后服务响应时间与处理时间。 （二）评审标准：每一条评审内容无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（一）评审内容：包含①服务质量保障体系；②质控管控措施；③确保系统使用可靠、稳定的质量保障措施。 （二）评审标准：每一条评审内容无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（一）评审内容：①培训人员；②培训方式；③培训内容 （二）评审标准：每一条评审内容无缺陷得2分，满分6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拟派项目负责人具有相关专业高级工程师得2分；具有相关专业中级职称得1分。 注：提供证书及社保证明复印件，加盖单位鲜章，否则不得分。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项目组人员中（项目负责人除外）每具有一个相关专业中级职称得1分，每具有一个相关专业高级职称得2分，本项最高得6分。 注：提供证书及社保证明复印件，加盖单位鲜章，否则不得分。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供应商具有近三年（2022年12月至今）的类似项目业绩，每提供1个业绩得1分，本项目最高得4分。（提供合同复印件加盖单位公章，以合同签订时间为准。）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满足磋商文件要求且最后报价最低的供应商的价格为基准价得20分，其他各供应商的最后报价得分按下列公式计算：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