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版本号：ZCSP-渭南市-2025-0088020251209001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渭南市2025年度国土变更调查市级核查汇总</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ZCSP-渭南市-2025-00880</w:t>
      </w:r>
      <w:r>
        <w:br/>
      </w:r>
      <w:r>
        <w:br/>
      </w:r>
      <w:r>
        <w:br/>
      </w:r>
    </w:p>
    <w:p>
      <w:pPr>
        <w:pStyle w:val="null3"/>
        <w:jc w:val="center"/>
        <w:outlineLvl w:val="2"/>
      </w:pPr>
      <w:r>
        <w:rPr>
          <w:rFonts w:ascii="仿宋_GB2312" w:hAnsi="仿宋_GB2312" w:cs="仿宋_GB2312" w:eastAsia="仿宋_GB2312"/>
          <w:sz w:val="28"/>
          <w:b/>
        </w:rPr>
        <w:t>渭南市自然资源和规划局</w:t>
      </w:r>
    </w:p>
    <w:p>
      <w:pPr>
        <w:pStyle w:val="null3"/>
        <w:jc w:val="center"/>
        <w:outlineLvl w:val="2"/>
      </w:pPr>
      <w:r>
        <w:rPr>
          <w:rFonts w:ascii="仿宋_GB2312" w:hAnsi="仿宋_GB2312" w:cs="仿宋_GB2312" w:eastAsia="仿宋_GB2312"/>
          <w:sz w:val="28"/>
          <w:b/>
        </w:rPr>
        <w:t>陕西盈德工程咨询有限公司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陕西盈德工程咨询有限公司</w:t>
      </w:r>
      <w:r>
        <w:rPr>
          <w:rFonts w:ascii="仿宋_GB2312" w:hAnsi="仿宋_GB2312" w:cs="仿宋_GB2312" w:eastAsia="仿宋_GB2312"/>
        </w:rPr>
        <w:t>（以下简称“代理机构”）受</w:t>
      </w:r>
      <w:r>
        <w:rPr>
          <w:rFonts w:ascii="仿宋_GB2312" w:hAnsi="仿宋_GB2312" w:cs="仿宋_GB2312" w:eastAsia="仿宋_GB2312"/>
        </w:rPr>
        <w:t>渭南市自然资源和规划局</w:t>
      </w:r>
      <w:r>
        <w:rPr>
          <w:rFonts w:ascii="仿宋_GB2312" w:hAnsi="仿宋_GB2312" w:cs="仿宋_GB2312" w:eastAsia="仿宋_GB2312"/>
        </w:rPr>
        <w:t>委托，拟对</w:t>
      </w:r>
      <w:r>
        <w:rPr>
          <w:rFonts w:ascii="仿宋_GB2312" w:hAnsi="仿宋_GB2312" w:cs="仿宋_GB2312" w:eastAsia="仿宋_GB2312"/>
        </w:rPr>
        <w:t>渭南市2025年度国土变更调查市级核查汇总</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ZCSP-渭南市-2025-00880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渭南市2025年度国土变更调查市级核查汇总</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（1）渭南市2025年度国土变更调查市级核查汇总；（2）渭南市2026年度日常变更调查监测市级核查汇总。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采购包1（渭南市2025年度国土变更调查市级核查汇总）：属于专门面向中小企业采购。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1、具有独立承担民事责任的能力：供应商应是独立承担民事责任能力的法人、其他组织，法人、其他组织须提供合法有效的营业执照或事业单位法人证书等证明资料。</w:t>
      </w:r>
    </w:p>
    <w:p>
      <w:pPr>
        <w:pStyle w:val="null3"/>
      </w:pPr>
      <w:r>
        <w:rPr>
          <w:rFonts w:ascii="仿宋_GB2312" w:hAnsi="仿宋_GB2312" w:cs="仿宋_GB2312" w:eastAsia="仿宋_GB2312"/>
        </w:rPr>
        <w:t>2、有依法缴纳税收和社会保障资金的良好记录：①提供2025年1月1日至今已缴存的任意一个月的纳税证明或完税证明（成立不足一个月的提供依法纳税的承诺书，格式自拟）； ②提供2025年1月1日至今已缴存的任意一个月的社会保障资金缴存单据或社保机构开具的社会保险参保缴费情况证明（成立不足一个月的提供将依法交纳社会保障资金的承诺书，格式自拟）； 注：依法免税或不需要缴纳社会保险的供应商提供相关部门出具的证明文件。</w:t>
      </w:r>
    </w:p>
    <w:p>
      <w:pPr>
        <w:pStyle w:val="null3"/>
      </w:pPr>
      <w:r>
        <w:rPr>
          <w:rFonts w:ascii="仿宋_GB2312" w:hAnsi="仿宋_GB2312" w:cs="仿宋_GB2312" w:eastAsia="仿宋_GB2312"/>
        </w:rPr>
        <w:t>3、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4、参加政府采购活动前三年内，在经营活动中没有重大违法记录：提供参加政府采购活动前三年内，在经营活动中没有重大违法记录的声明函。</w:t>
      </w:r>
    </w:p>
    <w:p>
      <w:pPr>
        <w:pStyle w:val="null3"/>
      </w:pPr>
      <w:r>
        <w:rPr>
          <w:rFonts w:ascii="仿宋_GB2312" w:hAnsi="仿宋_GB2312" w:cs="仿宋_GB2312" w:eastAsia="仿宋_GB2312"/>
        </w:rPr>
        <w:t>5、具有履行合同所必需的设备和专业技术能力：提供具有履行合同所必需的设备和专业技术能力的承诺书。</w:t>
      </w:r>
    </w:p>
    <w:p>
      <w:pPr>
        <w:pStyle w:val="null3"/>
      </w:pPr>
      <w:r>
        <w:rPr>
          <w:rFonts w:ascii="仿宋_GB2312" w:hAnsi="仿宋_GB2312" w:cs="仿宋_GB2312" w:eastAsia="仿宋_GB2312"/>
        </w:rPr>
        <w:t>6、供应商授权合法的人员参加磋商全过程：法定代表人或其他组织负责人直接参加磋商的，须出具法人身份证或其他组织负责人身份证，并与营业执照上信息一致；授权代表参加磋商的，须出具法定代表人或其他组织负责人授权书及授权代表身份证（养老保险缴纳证明或劳动合同）。</w:t>
      </w:r>
    </w:p>
    <w:p>
      <w:pPr>
        <w:pStyle w:val="null3"/>
      </w:pPr>
      <w:r>
        <w:rPr>
          <w:rFonts w:ascii="仿宋_GB2312" w:hAnsi="仿宋_GB2312" w:cs="仿宋_GB2312" w:eastAsia="仿宋_GB2312"/>
        </w:rPr>
        <w:t>7、供应商关联关系：单位负责人为同一人或者存在控股、管理关系的不同单位，不得同时参加本次采购项目；为本项目提供整体设计、规范编制或者项目管理、监理、检测等服务的投标人，不得参加本次采购项目。（供应商须提供承诺书）</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由资格审查小组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9、企业资质：供应商需具备乙级及以上（含乙级）测绘资质。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朱小聪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0913-2931667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陕西盈德工程咨询有限公司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渭南市临渭区乐天大街仁和大厦前办公楼401室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刘嘉鹏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0913-2104600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开户名称：陕西盈德工程咨询有限公司</w:t>
            </w:r>
          </w:p>
          <w:p>
            <w:pPr>
              <w:pStyle w:val="null3"/>
            </w:pPr>
            <w:r>
              <w:rPr>
                <w:rFonts w:ascii="仿宋_GB2312" w:hAnsi="仿宋_GB2312" w:cs="仿宋_GB2312" w:eastAsia="仿宋_GB2312"/>
              </w:rPr>
              <w:t>开户银行：中国建设银行股份有限公司渭南前进路支行</w:t>
            </w:r>
          </w:p>
          <w:p>
            <w:pPr>
              <w:pStyle w:val="null3"/>
            </w:pPr>
            <w:r>
              <w:rPr>
                <w:rFonts w:ascii="仿宋_GB2312" w:hAnsi="仿宋_GB2312" w:cs="仿宋_GB2312" w:eastAsia="仿宋_GB2312"/>
              </w:rPr>
              <w:t>银行账号：61050164160000001415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应向采购代理机构一次性交纳招标代理服务费。招标代理服务费收取按照国家计委颁布的《招标代理服务收费管理暂行办法》（计价格[2002]1980号）和（发改办价格[2003]857号）按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渭南市自然资源和规划局</w:t>
      </w:r>
      <w:r>
        <w:rPr>
          <w:rFonts w:ascii="仿宋_GB2312" w:hAnsi="仿宋_GB2312" w:cs="仿宋_GB2312" w:eastAsia="仿宋_GB2312"/>
        </w:rPr>
        <w:t>和</w:t>
      </w:r>
      <w:r>
        <w:rPr>
          <w:rFonts w:ascii="仿宋_GB2312" w:hAnsi="仿宋_GB2312" w:cs="仿宋_GB2312" w:eastAsia="仿宋_GB2312"/>
        </w:rPr>
        <w:t>陕西盈德工程咨询有限公司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陕西盈德工程咨询有限公司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陕西盈德工程咨询有限公司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根据自然资源部、陕西省自然资源厅工作安排，2025年度国土变更调查成果经自然资源部审核并启用；2026年度日常变更调查监测成果经自然资源部审核通过。</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联系人：王帅棋</w:t>
      </w:r>
    </w:p>
    <w:p>
      <w:pPr>
        <w:pStyle w:val="null3"/>
      </w:pPr>
      <w:r>
        <w:rPr>
          <w:rFonts w:ascii="仿宋_GB2312" w:hAnsi="仿宋_GB2312" w:cs="仿宋_GB2312" w:eastAsia="仿宋_GB2312"/>
        </w:rPr>
        <w:t>联系电话：18391580827</w:t>
      </w:r>
    </w:p>
    <w:p>
      <w:pPr>
        <w:pStyle w:val="null3"/>
      </w:pPr>
      <w:r>
        <w:rPr>
          <w:rFonts w:ascii="仿宋_GB2312" w:hAnsi="仿宋_GB2312" w:cs="仿宋_GB2312" w:eastAsia="仿宋_GB2312"/>
        </w:rPr>
        <w:t>地址：渭南市临渭区乐天大街仁和大厦前办公楼401室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（1）渭南市2025年度国土变更调查市级核查汇总；（2）渭南市2026年度日常变更调查监测市级核查汇总。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渭南市2025年度国土变更调查市级核查汇总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标的名称：渭南市2025年度国土变更调查市级核查汇总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功能要求：</w:t>
            </w:r>
          </w:p>
          <w:p>
            <w:pPr>
              <w:pStyle w:val="null3"/>
            </w:pPr>
            <w:r>
              <w:rPr>
                <w:rFonts w:ascii="仿宋_GB2312" w:hAnsi="仿宋_GB2312" w:cs="仿宋_GB2312" w:eastAsia="仿宋_GB2312"/>
                <w:sz w:val="21"/>
                <w:color w:val="000000"/>
              </w:rPr>
              <w:t>根据《自然资源部办公厅</w:t>
            </w:r>
            <w:r>
              <w:rPr>
                <w:rFonts w:ascii="仿宋_GB2312" w:hAnsi="仿宋_GB2312" w:cs="仿宋_GB2312" w:eastAsia="仿宋_GB2312"/>
              </w:rPr>
              <w:t xml:space="preserve"> </w:t>
            </w:r>
            <w:r>
              <w:rPr>
                <w:rFonts w:ascii="仿宋_GB2312" w:hAnsi="仿宋_GB2312" w:cs="仿宋_GB2312" w:eastAsia="仿宋_GB2312"/>
                <w:sz w:val="21"/>
                <w:color w:val="000000"/>
              </w:rPr>
              <w:t>国家林业和草原局办公室关于开展</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年度全国国土变更调查及森林草原湿地荒漠调查监测工作的通知》（自然资办发〔</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w:t>
            </w:r>
            <w:r>
              <w:rPr>
                <w:rFonts w:ascii="仿宋_GB2312" w:hAnsi="仿宋_GB2312" w:cs="仿宋_GB2312" w:eastAsia="仿宋_GB2312"/>
                <w:sz w:val="21"/>
                <w:color w:val="000000"/>
              </w:rPr>
              <w:t>33</w:t>
            </w:r>
            <w:r>
              <w:rPr>
                <w:rFonts w:ascii="仿宋_GB2312" w:hAnsi="仿宋_GB2312" w:cs="仿宋_GB2312" w:eastAsia="仿宋_GB2312"/>
                <w:sz w:val="21"/>
                <w:color w:val="000000"/>
              </w:rPr>
              <w:t>号）和《陕西省自然资源厅</w:t>
            </w:r>
            <w:r>
              <w:rPr>
                <w:rFonts w:ascii="仿宋_GB2312" w:hAnsi="仿宋_GB2312" w:cs="仿宋_GB2312" w:eastAsia="仿宋_GB2312"/>
              </w:rPr>
              <w:t xml:space="preserve"> </w:t>
            </w:r>
            <w:r>
              <w:rPr>
                <w:rFonts w:ascii="仿宋_GB2312" w:hAnsi="仿宋_GB2312" w:cs="仿宋_GB2312" w:eastAsia="仿宋_GB2312"/>
                <w:sz w:val="21"/>
                <w:color w:val="000000"/>
              </w:rPr>
              <w:t>陕西省林业局关于做好</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年度国土变更调查及森林草原湿地荒漠调查监测工作的通知》（陕自然资发〔</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w:t>
            </w:r>
            <w:r>
              <w:rPr>
                <w:rFonts w:ascii="仿宋_GB2312" w:hAnsi="仿宋_GB2312" w:cs="仿宋_GB2312" w:eastAsia="仿宋_GB2312"/>
                <w:sz w:val="21"/>
                <w:color w:val="000000"/>
              </w:rPr>
              <w:t>1425</w:t>
            </w:r>
            <w:r>
              <w:rPr>
                <w:rFonts w:ascii="仿宋_GB2312" w:hAnsi="仿宋_GB2312" w:cs="仿宋_GB2312" w:eastAsia="仿宋_GB2312"/>
                <w:sz w:val="21"/>
                <w:color w:val="000000"/>
              </w:rPr>
              <w:t>号）要求，在各县市区提交</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年度国土变更调查、</w:t>
            </w:r>
            <w:r>
              <w:rPr>
                <w:rFonts w:ascii="仿宋_GB2312" w:hAnsi="仿宋_GB2312" w:cs="仿宋_GB2312" w:eastAsia="仿宋_GB2312"/>
                <w:sz w:val="21"/>
                <w:color w:val="000000"/>
              </w:rPr>
              <w:t>2026</w:t>
            </w:r>
            <w:r>
              <w:rPr>
                <w:rFonts w:ascii="仿宋_GB2312" w:hAnsi="仿宋_GB2312" w:cs="仿宋_GB2312" w:eastAsia="仿宋_GB2312"/>
                <w:sz w:val="21"/>
                <w:color w:val="000000"/>
              </w:rPr>
              <w:t>年度日常变更调查监测初步成果的基础上，及时开展市级核查、汇总等工作。同时，按部、省、市通知与方案要求，开展汇总等工作、提交相关成果资料，全面掌握全市</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年度国土变更调查、</w:t>
            </w:r>
            <w:r>
              <w:rPr>
                <w:rFonts w:ascii="仿宋_GB2312" w:hAnsi="仿宋_GB2312" w:cs="仿宋_GB2312" w:eastAsia="仿宋_GB2312"/>
                <w:sz w:val="21"/>
                <w:color w:val="000000"/>
              </w:rPr>
              <w:t>2026</w:t>
            </w:r>
            <w:r>
              <w:rPr>
                <w:rFonts w:ascii="仿宋_GB2312" w:hAnsi="仿宋_GB2312" w:cs="仿宋_GB2312" w:eastAsia="仿宋_GB2312"/>
                <w:sz w:val="21"/>
                <w:color w:val="000000"/>
              </w:rPr>
              <w:t>年度日常变更调查监测地类、面积、属性及相关图层属性信息的变化情况。</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需执行的国家相关标准、行业标准、地方标准或者其他标准、规范：</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《中华人民共和国土地管理法》（主席令</w:t>
            </w:r>
            <w:r>
              <w:rPr>
                <w:rFonts w:ascii="仿宋_GB2312" w:hAnsi="仿宋_GB2312" w:cs="仿宋_GB2312" w:eastAsia="仿宋_GB2312"/>
                <w:sz w:val="21"/>
                <w:color w:val="000000"/>
              </w:rPr>
              <w:t>[2004]</w:t>
            </w:r>
            <w:r>
              <w:rPr>
                <w:rFonts w:ascii="仿宋_GB2312" w:hAnsi="仿宋_GB2312" w:cs="仿宋_GB2312" w:eastAsia="仿宋_GB2312"/>
                <w:sz w:val="21"/>
                <w:color w:val="000000"/>
              </w:rPr>
              <w:t>第</w:t>
            </w:r>
            <w:r>
              <w:rPr>
                <w:rFonts w:ascii="仿宋_GB2312" w:hAnsi="仿宋_GB2312" w:cs="仿宋_GB2312" w:eastAsia="仿宋_GB2312"/>
                <w:sz w:val="21"/>
                <w:color w:val="000000"/>
              </w:rPr>
              <w:t>28</w:t>
            </w:r>
            <w:r>
              <w:rPr>
                <w:rFonts w:ascii="仿宋_GB2312" w:hAnsi="仿宋_GB2312" w:cs="仿宋_GB2312" w:eastAsia="仿宋_GB2312"/>
                <w:sz w:val="21"/>
                <w:color w:val="000000"/>
              </w:rPr>
              <w:t>号）；</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《土地调查条例》（国务院令第</w:t>
            </w:r>
            <w:r>
              <w:rPr>
                <w:rFonts w:ascii="仿宋_GB2312" w:hAnsi="仿宋_GB2312" w:cs="仿宋_GB2312" w:eastAsia="仿宋_GB2312"/>
                <w:sz w:val="21"/>
                <w:color w:val="000000"/>
              </w:rPr>
              <w:t>518</w:t>
            </w:r>
            <w:r>
              <w:rPr>
                <w:rFonts w:ascii="仿宋_GB2312" w:hAnsi="仿宋_GB2312" w:cs="仿宋_GB2312" w:eastAsia="仿宋_GB2312"/>
                <w:sz w:val="21"/>
                <w:color w:val="000000"/>
              </w:rPr>
              <w:t>号）；</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《土地调查条例实施办法》（</w:t>
            </w:r>
            <w:r>
              <w:rPr>
                <w:rFonts w:ascii="仿宋_GB2312" w:hAnsi="仿宋_GB2312" w:cs="仿宋_GB2312" w:eastAsia="仿宋_GB2312"/>
                <w:sz w:val="21"/>
                <w:color w:val="000000"/>
              </w:rPr>
              <w:t>2019</w:t>
            </w:r>
            <w:r>
              <w:rPr>
                <w:rFonts w:ascii="仿宋_GB2312" w:hAnsi="仿宋_GB2312" w:cs="仿宋_GB2312" w:eastAsia="仿宋_GB2312"/>
                <w:sz w:val="21"/>
                <w:color w:val="000000"/>
              </w:rPr>
              <w:t>年</w:t>
            </w:r>
            <w:r>
              <w:rPr>
                <w:rFonts w:ascii="仿宋_GB2312" w:hAnsi="仿宋_GB2312" w:cs="仿宋_GB2312" w:eastAsia="仿宋_GB2312"/>
                <w:sz w:val="21"/>
                <w:color w:val="000000"/>
              </w:rPr>
              <w:t>7</w:t>
            </w:r>
            <w:r>
              <w:rPr>
                <w:rFonts w:ascii="仿宋_GB2312" w:hAnsi="仿宋_GB2312" w:cs="仿宋_GB2312" w:eastAsia="仿宋_GB2312"/>
                <w:sz w:val="21"/>
                <w:color w:val="000000"/>
              </w:rPr>
              <w:t>月</w:t>
            </w:r>
            <w:r>
              <w:rPr>
                <w:rFonts w:ascii="仿宋_GB2312" w:hAnsi="仿宋_GB2312" w:cs="仿宋_GB2312" w:eastAsia="仿宋_GB2312"/>
                <w:sz w:val="21"/>
                <w:color w:val="000000"/>
              </w:rPr>
              <w:t>16</w:t>
            </w:r>
            <w:r>
              <w:rPr>
                <w:rFonts w:ascii="仿宋_GB2312" w:hAnsi="仿宋_GB2312" w:cs="仿宋_GB2312" w:eastAsia="仿宋_GB2312"/>
                <w:sz w:val="21"/>
                <w:color w:val="000000"/>
              </w:rPr>
              <w:t>日第二次修正）；</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《自然资源部办公厅</w:t>
            </w:r>
            <w:r>
              <w:rPr>
                <w:rFonts w:ascii="仿宋_GB2312" w:hAnsi="仿宋_GB2312" w:cs="仿宋_GB2312" w:eastAsia="仿宋_GB2312"/>
                <w:sz w:val="21"/>
              </w:rPr>
              <w:t xml:space="preserve"> </w:t>
            </w:r>
            <w:r>
              <w:rPr>
                <w:rFonts w:ascii="仿宋_GB2312" w:hAnsi="仿宋_GB2312" w:cs="仿宋_GB2312" w:eastAsia="仿宋_GB2312"/>
                <w:sz w:val="21"/>
                <w:color w:val="000000"/>
              </w:rPr>
              <w:t>国家林业和草原局办公室关于开展</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年度全国国土变更调查及森林草原湿地荒漠调查监测工作的通知》（自然资办发〔</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w:t>
            </w:r>
            <w:r>
              <w:rPr>
                <w:rFonts w:ascii="仿宋_GB2312" w:hAnsi="仿宋_GB2312" w:cs="仿宋_GB2312" w:eastAsia="仿宋_GB2312"/>
                <w:sz w:val="21"/>
                <w:color w:val="000000"/>
              </w:rPr>
              <w:t>33</w:t>
            </w:r>
            <w:r>
              <w:rPr>
                <w:rFonts w:ascii="仿宋_GB2312" w:hAnsi="仿宋_GB2312" w:cs="仿宋_GB2312" w:eastAsia="仿宋_GB2312"/>
                <w:sz w:val="21"/>
                <w:color w:val="000000"/>
              </w:rPr>
              <w:t>号）；</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《陕西省自然资源厅</w:t>
            </w:r>
            <w:r>
              <w:rPr>
                <w:rFonts w:ascii="仿宋_GB2312" w:hAnsi="仿宋_GB2312" w:cs="仿宋_GB2312" w:eastAsia="仿宋_GB2312"/>
                <w:sz w:val="21"/>
              </w:rPr>
              <w:t xml:space="preserve"> </w:t>
            </w:r>
            <w:r>
              <w:rPr>
                <w:rFonts w:ascii="仿宋_GB2312" w:hAnsi="仿宋_GB2312" w:cs="仿宋_GB2312" w:eastAsia="仿宋_GB2312"/>
                <w:sz w:val="21"/>
                <w:color w:val="000000"/>
              </w:rPr>
              <w:t>陕西省林局关于做好</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年度国土变更调查及森林草原湿地荒漠调查监测工作的通知》（陕自然资发〔</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w:t>
            </w:r>
            <w:r>
              <w:rPr>
                <w:rFonts w:ascii="仿宋_GB2312" w:hAnsi="仿宋_GB2312" w:cs="仿宋_GB2312" w:eastAsia="仿宋_GB2312"/>
                <w:sz w:val="21"/>
                <w:color w:val="000000"/>
              </w:rPr>
              <w:t>1425</w:t>
            </w:r>
            <w:r>
              <w:rPr>
                <w:rFonts w:ascii="仿宋_GB2312" w:hAnsi="仿宋_GB2312" w:cs="仿宋_GB2312" w:eastAsia="仿宋_GB2312"/>
                <w:sz w:val="21"/>
                <w:color w:val="000000"/>
              </w:rPr>
              <w:t>号）；</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《国土调查数据库标准》（</w:t>
            </w:r>
            <w:r>
              <w:rPr>
                <w:rFonts w:ascii="仿宋_GB2312" w:hAnsi="仿宋_GB2312" w:cs="仿宋_GB2312" w:eastAsia="仿宋_GB2312"/>
                <w:sz w:val="21"/>
                <w:color w:val="000000"/>
              </w:rPr>
              <w:t>TD/T1057-2020</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《国土变更调查技术要求》（</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年度适用）。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rPr>
              <w:t>服务指标的具体要求：</w:t>
            </w:r>
          </w:p>
          <w:p>
            <w:pPr>
              <w:pStyle w:val="null3"/>
              <w:jc w:val="both"/>
            </w:pPr>
            <w:r>
              <w:rPr>
                <w:rFonts w:ascii="仿宋_GB2312" w:hAnsi="仿宋_GB2312" w:cs="仿宋_GB2312" w:eastAsia="仿宋_GB2312"/>
                <w:sz w:val="21"/>
                <w:color w:val="000000"/>
              </w:rPr>
              <w:t>（一）渭南市</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年度国土变更调查市级核查汇总</w:t>
            </w:r>
          </w:p>
          <w:p>
            <w:pPr>
              <w:pStyle w:val="null3"/>
              <w:jc w:val="both"/>
            </w:pPr>
            <w:r>
              <w:rPr>
                <w:rFonts w:ascii="仿宋_GB2312" w:hAnsi="仿宋_GB2312" w:cs="仿宋_GB2312" w:eastAsia="仿宋_GB2312"/>
                <w:sz w:val="21"/>
                <w:color w:val="000000"/>
              </w:rPr>
              <w:t>按照</w:t>
            </w:r>
            <w:r>
              <w:rPr>
                <w:rFonts w:ascii="仿宋_GB2312" w:hAnsi="仿宋_GB2312" w:cs="仿宋_GB2312" w:eastAsia="仿宋_GB2312"/>
                <w:sz w:val="21"/>
                <w:color w:val="000000"/>
              </w:rPr>
              <w:t>“统一标准、统一时点、统一平台”要求，组织</w:t>
            </w:r>
            <w:r>
              <w:rPr>
                <w:rFonts w:ascii="仿宋_GB2312" w:hAnsi="仿宋_GB2312" w:cs="仿宋_GB2312" w:eastAsia="仿宋_GB2312"/>
                <w:sz w:val="21"/>
                <w:color w:val="000000"/>
              </w:rPr>
              <w:t>11</w:t>
            </w:r>
            <w:r>
              <w:rPr>
                <w:rFonts w:ascii="仿宋_GB2312" w:hAnsi="仿宋_GB2312" w:cs="仿宋_GB2312" w:eastAsia="仿宋_GB2312"/>
                <w:sz w:val="21"/>
                <w:color w:val="000000"/>
              </w:rPr>
              <w:t>个县市区统筹利用现有资料，结合自然资源管理成果，开展实地调查举证，掌握国土利用变化情况。同时对各县市区在陕西调查云平台上报举证照片、矢量数据库开展核查汇总，并根据自然资源部、省级核查意见，组织指导县级修改完善上报成果，最终形成</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年度国土变更调查成果，为今后自然资源管理提供基础底数。</w:t>
            </w:r>
          </w:p>
          <w:p>
            <w:pPr>
              <w:pStyle w:val="null3"/>
              <w:jc w:val="both"/>
            </w:pPr>
            <w:r>
              <w:rPr>
                <w:rFonts w:ascii="仿宋_GB2312" w:hAnsi="仿宋_GB2312" w:cs="仿宋_GB2312" w:eastAsia="仿宋_GB2312"/>
                <w:sz w:val="21"/>
                <w:color w:val="000000"/>
              </w:rPr>
              <w:t>（二）渭南市</w:t>
            </w:r>
            <w:r>
              <w:rPr>
                <w:rFonts w:ascii="仿宋_GB2312" w:hAnsi="仿宋_GB2312" w:cs="仿宋_GB2312" w:eastAsia="仿宋_GB2312"/>
                <w:sz w:val="21"/>
                <w:color w:val="000000"/>
              </w:rPr>
              <w:t>2026</w:t>
            </w:r>
            <w:r>
              <w:rPr>
                <w:rFonts w:ascii="仿宋_GB2312" w:hAnsi="仿宋_GB2312" w:cs="仿宋_GB2312" w:eastAsia="仿宋_GB2312"/>
                <w:sz w:val="21"/>
                <w:color w:val="000000"/>
              </w:rPr>
              <w:t>年度日常变更调查监测市级核查汇总</w:t>
            </w:r>
          </w:p>
          <w:p>
            <w:pPr>
              <w:pStyle w:val="null3"/>
            </w:pPr>
            <w:r>
              <w:rPr>
                <w:rFonts w:ascii="仿宋_GB2312" w:hAnsi="仿宋_GB2312" w:cs="仿宋_GB2312" w:eastAsia="仿宋_GB2312"/>
                <w:sz w:val="21"/>
                <w:color w:val="000000"/>
              </w:rPr>
              <w:t>根据部、省下发有关季度国土变更调查疑似变化图斑，组织</w:t>
            </w:r>
            <w:r>
              <w:rPr>
                <w:rFonts w:ascii="仿宋_GB2312" w:hAnsi="仿宋_GB2312" w:cs="仿宋_GB2312" w:eastAsia="仿宋_GB2312"/>
                <w:sz w:val="21"/>
                <w:color w:val="000000"/>
              </w:rPr>
              <w:t>11</w:t>
            </w:r>
            <w:r>
              <w:rPr>
                <w:rFonts w:ascii="仿宋_GB2312" w:hAnsi="仿宋_GB2312" w:cs="仿宋_GB2312" w:eastAsia="仿宋_GB2312"/>
                <w:sz w:val="21"/>
                <w:color w:val="000000"/>
              </w:rPr>
              <w:t>个县市区及时开展外业核实举证拍照，及时对各县市区陕西调查云平台上报举证照片、矢量数据库开展核查汇总，组织指导各县市区开展初报成果修改完善，并按规定时间节点报送全市成果资料。对各县市区申请的补充耕地类、增减挂类项目新增耕地和其他地类变化图斑，按照国土变更调查有关要求，通过外业举证拍照、陕西调查云平台上传审核、建立矢量数据库图层等程序，完成</w:t>
            </w:r>
            <w:r>
              <w:rPr>
                <w:rFonts w:ascii="仿宋_GB2312" w:hAnsi="仿宋_GB2312" w:cs="仿宋_GB2312" w:eastAsia="仿宋_GB2312"/>
                <w:sz w:val="21"/>
                <w:color w:val="000000"/>
              </w:rPr>
              <w:t>2026</w:t>
            </w:r>
            <w:r>
              <w:rPr>
                <w:rFonts w:ascii="仿宋_GB2312" w:hAnsi="仿宋_GB2312" w:cs="仿宋_GB2312" w:eastAsia="仿宋_GB2312"/>
                <w:sz w:val="21"/>
                <w:color w:val="000000"/>
              </w:rPr>
              <w:t>年度日常变更调查监测工作。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color w:val="000000"/>
              </w:rPr>
              <w:t>工作内容：</w:t>
            </w:r>
          </w:p>
          <w:tbl>
            <w:tblPr>
              <w:tblBorders>
                <w:top w:val="none" w:color="000000" w:sz="4"/>
                <w:left w:val="none" w:color="000000" w:sz="4"/>
                <w:bottom w:val="none" w:color="000000" w:sz="4"/>
                <w:right w:val="none" w:color="000000" w:sz="4"/>
                <w:insideH w:val="none"/>
                <w:insideV w:val="none"/>
              </w:tblBorders>
            </w:tblPr>
            <w:tblGrid>
              <w:gridCol w:w="261"/>
              <w:gridCol w:w="711"/>
              <w:gridCol w:w="1568"/>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27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工作内容</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方案编制及数据准备</w:t>
                  </w:r>
                </w:p>
              </w:tc>
              <w:tc>
                <w:tcPr>
                  <w:tcW w:type="dxa" w:w="15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根据部、省级变更调查技术培训会议，收集基础资料分析，确定整体工作方案，明确市级汇总核查工作。</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2026</w:t>
                  </w:r>
                  <w:r>
                    <w:rPr>
                      <w:rFonts w:ascii="仿宋_GB2312" w:hAnsi="仿宋_GB2312" w:cs="仿宋_GB2312" w:eastAsia="仿宋_GB2312"/>
                      <w:sz w:val="21"/>
                      <w:color w:val="000000"/>
                    </w:rPr>
                    <w:t>年度日常变更调查监测项目情况核查</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对全市</w:t>
                  </w:r>
                  <w:r>
                    <w:rPr>
                      <w:rFonts w:ascii="仿宋_GB2312" w:hAnsi="仿宋_GB2312" w:cs="仿宋_GB2312" w:eastAsia="仿宋_GB2312"/>
                      <w:sz w:val="21"/>
                      <w:color w:val="000000"/>
                    </w:rPr>
                    <w:t xml:space="preserve"> 11 </w:t>
                  </w:r>
                  <w:r>
                    <w:rPr>
                      <w:rFonts w:ascii="仿宋_GB2312" w:hAnsi="仿宋_GB2312" w:cs="仿宋_GB2312" w:eastAsia="仿宋_GB2312"/>
                      <w:sz w:val="21"/>
                      <w:color w:val="000000"/>
                    </w:rPr>
                    <w:t>个县市区变更调查成果中涉及的增减挂钩、土地综合整治、高标准农田建设、生态修复、生态退耕、沙漠治理、河湖治理等项目的图斑进行核查，核查是否符合纳入本年度年国土变更调查。</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3</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县级数据内外业核查</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完成</w:t>
                  </w:r>
                  <w:r>
                    <w:rPr>
                      <w:rFonts w:ascii="仿宋_GB2312" w:hAnsi="仿宋_GB2312" w:cs="仿宋_GB2312" w:eastAsia="仿宋_GB2312"/>
                      <w:sz w:val="21"/>
                      <w:color w:val="000000"/>
                    </w:rPr>
                    <w:t>11</w:t>
                  </w:r>
                  <w:r>
                    <w:rPr>
                      <w:rFonts w:ascii="仿宋_GB2312" w:hAnsi="仿宋_GB2312" w:cs="仿宋_GB2312" w:eastAsia="仿宋_GB2312"/>
                      <w:sz w:val="21"/>
                      <w:color w:val="000000"/>
                    </w:rPr>
                    <w:t>个县市区遥感监测图斑，采用人机交互方式，结合内业调查信息提取结果，对照遥感影像、举证照片，对地方上报变更调查图斑和未响应的遥感监测图斑等进行分类内业检查，逐图斑检查地类、边界、属性标注等信息是否与实地现状一致。包括核查任务创建、图斑核查、成果自检、成果输出整理等。</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4</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数据库质量检查</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对全市</w:t>
                  </w:r>
                  <w:r>
                    <w:rPr>
                      <w:rFonts w:ascii="仿宋_GB2312" w:hAnsi="仿宋_GB2312" w:cs="仿宋_GB2312" w:eastAsia="仿宋_GB2312"/>
                      <w:sz w:val="21"/>
                      <w:color w:val="000000"/>
                    </w:rPr>
                    <w:t>11</w:t>
                  </w:r>
                  <w:r>
                    <w:rPr>
                      <w:rFonts w:ascii="仿宋_GB2312" w:hAnsi="仿宋_GB2312" w:cs="仿宋_GB2312" w:eastAsia="仿宋_GB2312"/>
                      <w:sz w:val="21"/>
                      <w:color w:val="000000"/>
                    </w:rPr>
                    <w:t>个县市区提交的更新增量数据包，按照自然资源部统一的数据库成果要求开展数据库质量及例外说明格式、规范性、完整性、合理性进行核查，并形成统一格式的市级核查反馈意见。</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5</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市级汇总成果分析及整理</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根据最终年度变更调查成果，整理形成市级变更调查汇总成果，包括文字报告、汇总表格等。</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color w:val="000000"/>
              </w:rPr>
              <w:t>服务质量：</w:t>
            </w:r>
            <w:r>
              <w:rPr>
                <w:rFonts w:ascii="仿宋_GB2312" w:hAnsi="仿宋_GB2312" w:cs="仿宋_GB2312" w:eastAsia="仿宋_GB2312"/>
                <w:sz w:val="21"/>
                <w:color w:val="000000"/>
              </w:rPr>
              <w:t>上报部、省的国土变更调查和日常变更调查监测数据库成果质量必须符合部、省通知与方案要求，顺利通过部、省核查，符合自然资源日常管理需要；上报的数据库成果资料真实、准确、完整；数据库成果上报自然资源部后，及时向渭南市自然资源和规划局提交有关数据库成果与汇总表格、资料等。</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color w:val="000000"/>
              </w:rPr>
              <w:t>服务要求：</w:t>
            </w:r>
            <w:r>
              <w:rPr>
                <w:rFonts w:ascii="仿宋_GB2312" w:hAnsi="仿宋_GB2312" w:cs="仿宋_GB2312" w:eastAsia="仿宋_GB2312"/>
                <w:sz w:val="21"/>
                <w:color w:val="000000"/>
              </w:rPr>
              <w:t>按照部、省</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年度国土变更调查方案和技术要求，以及</w:t>
            </w:r>
            <w:r>
              <w:rPr>
                <w:rFonts w:ascii="仿宋_GB2312" w:hAnsi="仿宋_GB2312" w:cs="仿宋_GB2312" w:eastAsia="仿宋_GB2312"/>
                <w:sz w:val="21"/>
                <w:color w:val="000000"/>
              </w:rPr>
              <w:t>2026</w:t>
            </w:r>
            <w:r>
              <w:rPr>
                <w:rFonts w:ascii="仿宋_GB2312" w:hAnsi="仿宋_GB2312" w:cs="仿宋_GB2312" w:eastAsia="仿宋_GB2312"/>
                <w:sz w:val="21"/>
                <w:color w:val="000000"/>
              </w:rPr>
              <w:t>年度日常变更调查监测规定，及时完成各县市区上报陕西调查云平台举证照片、矢量数据库的审核、汇总与分析等工作。同时，配合完成部、省各类检查与成果修改，成果质量顺利通过部、省核查。</w:t>
            </w:r>
          </w:p>
          <w:p>
            <w:pPr>
              <w:pStyle w:val="null3"/>
              <w:jc w:val="both"/>
            </w:pPr>
            <w:r>
              <w:rPr>
                <w:rFonts w:ascii="仿宋_GB2312" w:hAnsi="仿宋_GB2312" w:cs="仿宋_GB2312" w:eastAsia="仿宋_GB2312"/>
                <w:sz w:val="21"/>
                <w:b/>
                <w:color w:val="000000"/>
              </w:rPr>
              <w:t>预期成果：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）数据库成果。包括更新后的市级数据库、各类统计汇总表等。</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）文字成果。包括土地利用变化情况分析报告。</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）核查成果。市级汇总工作过程中，对县级成果开展并形成的核查检查资料等。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1、供应商应及时向采购人汇报项目实施情况。 2、人员配备合理，有针对本项目的专项服务小组，项目负责人、工作人员分工明确(应有具体成员名单，包括姓名、工作职责等)。 3、在服务期间,若供应商所拟派的工作人员发生任何伤害，采购人概不负责，由供应商自行处理。 4、供应商除提供成果文件外，还应负责协助采购人完成成果文件的评审、验收等工作。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2025年度国土变更调查市级核查汇总自合同签订后90日完成成果上报，最终时间以经自然资源部确认或下发相关成果时间为准。2026年度日常变更调查监测服务期限为2026年12月底。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根据自然资源部、陕西省自然资源厅工作安排，2025年度国土变更调查成果经自然资源部审核并启用；2026年度日常变更调查监测成果经自然资源部审核通过。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第一次付款，2025年度国土变更调查成果启用后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2026年度日常变更调查监测成果经自然资源部审核后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甲、乙双方在协议履行过程中发生争议的，应及时协商解决。 （1）甲乙双方必须遵守本合同并执行合同中的各项规定，保证本合同的正常履行。 （2）如因乙方工作人员在履行职务过程中的疏忽、失职、过错等故意或者过失原因给甲方造成损失或侵害，包括但不限于甲方本身的财产损失、由此而导致的甲方对任何第三方的法律责任等，乙方对此均应承担全部的赔偿责任。 （3）乙方所交成果不符合国家法律法规和合同约定的，甲方有权拒收，并由乙方承担一切费用，甲方不予支付服务费用。 （4）因乙方原因导致不能按期完成服务的，每逾期一日，乙方应向甲方承担违约金。 （5）双方本着友好合作的态度,对合同履行过程中发生的纠纷应及时协商解决，协商不成的，向采购人所在地有管辖权的人民法院诉讼解决。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成交）供应商在中标（成交）结果公告发布后3个工作日内提供叁套纸质响应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供应商应是独立承担民事责任能力的法人、其他组织，法人、其他组织须提供合法有效的营业执照或事业单位法人证书等证明资料。</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①提供2025年1月1日至今已缴存的任意一个月的纳税证明或完税证明（成立不足一个月的提供依法纳税的承诺书，格式自拟）； ②提供2025年1月1日至今已缴存的任意一个月的社会保障资金缴存单据或社保机构开具的社会保险参保缴费情况证明（成立不足一个月的提供将依法交纳社会保障资金的承诺书，格式自拟）； 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提供参加政府采购活动前三年内，在经营活动中没有重大违法记录的声明函。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供应商授权合法的人员参加磋商全过程</w:t>
            </w:r>
          </w:p>
        </w:tc>
        <w:tc>
          <w:tcPr>
            <w:tcW w:type="dxa" w:w="3322"/>
          </w:tcPr>
          <w:p>
            <w:pPr>
              <w:pStyle w:val="null3"/>
            </w:pPr>
            <w:r>
              <w:rPr>
                <w:rFonts w:ascii="仿宋_GB2312" w:hAnsi="仿宋_GB2312" w:cs="仿宋_GB2312" w:eastAsia="仿宋_GB2312"/>
              </w:rPr>
              <w:t>法定代表人或其他组织负责人直接参加磋商的，须出具法人身份证或其他组织负责人身份证，并与营业执照上信息一致；授权代表参加磋商的，须出具法定代表人或其他组织负责人授权书及授权代表身份证（养老保险缴纳证明或劳动合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供应商须提供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由资格审查小组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供应商需具备乙级及以上（含乙级）测绘资质。</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供应商名称应与营业执照一致</w:t>
            </w:r>
          </w:p>
        </w:tc>
        <w:tc>
          <w:tcPr>
            <w:tcW w:type="dxa" w:w="1661"/>
          </w:tcPr>
          <w:p>
            <w:pPr>
              <w:pStyle w:val="null3"/>
            </w:pPr>
            <w:r>
              <w:rPr>
                <w:rFonts w:ascii="仿宋_GB2312" w:hAnsi="仿宋_GB2312" w:cs="仿宋_GB2312" w:eastAsia="仿宋_GB2312"/>
              </w:rPr>
              <w:t>响应文件封面 中小企业声明函 残疾人福利性单位声明函 资格证明材料相关附件.docx 商务应答表 标的清单 服务内容及服务要求应答表 报价表 响应函 服务方案.docx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磋商响应文件签章</w:t>
            </w:r>
          </w:p>
        </w:tc>
        <w:tc>
          <w:tcPr>
            <w:tcW w:type="dxa" w:w="3322"/>
          </w:tcPr>
          <w:p>
            <w:pPr>
              <w:pStyle w:val="null3"/>
            </w:pPr>
            <w:r>
              <w:rPr>
                <w:rFonts w:ascii="仿宋_GB2312" w:hAnsi="仿宋_GB2312" w:cs="仿宋_GB2312" w:eastAsia="仿宋_GB2312"/>
              </w:rPr>
              <w:t>应按磋商文件要求签章</w:t>
            </w:r>
          </w:p>
        </w:tc>
        <w:tc>
          <w:tcPr>
            <w:tcW w:type="dxa" w:w="1661"/>
          </w:tcPr>
          <w:p>
            <w:pPr>
              <w:pStyle w:val="null3"/>
            </w:pPr>
            <w:r>
              <w:rPr>
                <w:rFonts w:ascii="仿宋_GB2312" w:hAnsi="仿宋_GB2312" w:cs="仿宋_GB2312" w:eastAsia="仿宋_GB2312"/>
              </w:rPr>
              <w:t>响应文件封面 资格证明材料相关附件.docx 中小企业声明函 残疾人福利性单位声明函 商务应答表 标的清单 服务内容及服务要求应答表 报价表 响应函 服务方案.docx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中小企业声明函 残疾人福利性单位声明函 资格证明材料相关附件.docx 商务应答表 标的清单 服务内容及服务要求应答表 报价表 响应函 服务方案.docx 监狱企业的证明文件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磋商小组应当根据综合评分情况，按照评审得分由高到低顺序推荐3名成交候选供应商，并编写评审报告。评审得分相同的，按照最后报价由低到高的顺序推荐。评审得分且最后报价相同的，按照技术部分得分从高到低顺序推 荐，若该项得分还相同，由磋商小组无记名投票确定排名顺序。</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提供针对本项目的服务方案，包括①对本项目的理解和总体工作思路；②工作流程及工作计划；③人员配置及岗位职责。 二、评审标准: 提供详细、合理、科学可行的方案，方案符合本项目采购需求有针对性，以上3项，以序号①、②、③为项数，内容无缺项、无漏项且无缺陷的得15分，其中每有一项内容存在缺项或漏项的扣5分，每项内容中每有一处存在缺陷的扣0.5分，该项分值扣完为止，未提供不得分。 三、赋分说明: “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 提供针对本项目的工作进度控制方案，包括①周期进度计划及任务时间节点把握；②进度控制措施； 二、评审标准: 提供详细、合理、科学可行的方案，方案符合本项目采购需求有针对性，以上2项，以序号①、②为项数，内容无缺项、无漏项且无缺陷的得10分，其中每有一项内容存在缺项或漏项的扣5分，每项内容中每有一处存在缺陷的扣0.5分，该项分值扣完为止，未提供不得分。 三、赋分说明: “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提供针对本项目的质量控制方案，包括①质量目标；②质量控制措施。 二、评审标准: 提供详细、合理、科学可行的方案，方案符合本项目采购需求有针对性，以上2项，以序号①、②为项数，内容无缺项、无漏项且无缺陷的得10分，其中每有一项内容存在缺项或漏项的扣5分，每项内容中每有一处存在缺陷的扣0.5分，该项分值扣完为止，未提供不得分。 三、赋分说明: “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保密保障措施</w:t>
            </w:r>
          </w:p>
        </w:tc>
        <w:tc>
          <w:tcPr>
            <w:tcW w:type="dxa" w:w="2492"/>
          </w:tcPr>
          <w:p>
            <w:pPr>
              <w:pStyle w:val="null3"/>
            </w:pPr>
            <w:r>
              <w:rPr>
                <w:rFonts w:ascii="仿宋_GB2312" w:hAnsi="仿宋_GB2312" w:cs="仿宋_GB2312" w:eastAsia="仿宋_GB2312"/>
              </w:rPr>
              <w:t>一、评审内容： 根据本项目性质及特点制定相应的保密保障措施。 二、评审标准: 提供详细、合理、科学可行的方案，方案符合本项目采购需求有针对性，内容无缺项、无漏项且无缺陷的得5分，每有一处存在缺陷的扣0.5分，该项分值扣完为止，未提供不得分。 三、赋分说明: “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档案管理措施</w:t>
            </w:r>
          </w:p>
        </w:tc>
        <w:tc>
          <w:tcPr>
            <w:tcW w:type="dxa" w:w="2492"/>
          </w:tcPr>
          <w:p>
            <w:pPr>
              <w:pStyle w:val="null3"/>
            </w:pPr>
            <w:r>
              <w:rPr>
                <w:rFonts w:ascii="仿宋_GB2312" w:hAnsi="仿宋_GB2312" w:cs="仿宋_GB2312" w:eastAsia="仿宋_GB2312"/>
              </w:rPr>
              <w:t>一、评审内容： 根据本项目实际情况及要求制定档案及资料管理制度。 二、评审标准: 提供详细、合理、科学可行的方案，方案符合本项目采购需求有针对性，内容无缺项、无漏项且无缺陷的得5分，每有一处存在缺陷的扣0.5分，该项分值扣完为止，未提供不得分。 三、赋分说明: “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针对本项目可能出现的突发情况，提供相关应急预案。 二、评审标准: 提供详细、合理、科学可行的方案，方案符合本项目采购需求有针对性，内容无缺项、无漏项且无缺陷的得5分，每有一处存在缺陷的扣0.5分，该项分值扣完为止，未提供不得分。 三、赋分说明: “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一、评审内容： 针对本项目①重点、难点分析；②应对措施等。 二、评审标准: 提供详细、合理、科学可行的方案，方案符合本项目采购需求有针对性，以上2项，以序号①、②为项数，内容无缺项、无漏项且无缺陷的得10分，其中每有一项内容存在缺项或漏项的扣5分，每项内容中每有一处存在缺陷的扣0.5分，该项分值扣完为止，未提供不得分。 三、赋分说明: “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项目拟派人员</w:t>
            </w:r>
          </w:p>
        </w:tc>
        <w:tc>
          <w:tcPr>
            <w:tcW w:type="dxa" w:w="2492"/>
          </w:tcPr>
          <w:p>
            <w:pPr>
              <w:pStyle w:val="null3"/>
            </w:pPr>
            <w:r>
              <w:rPr>
                <w:rFonts w:ascii="仿宋_GB2312" w:hAnsi="仿宋_GB2312" w:cs="仿宋_GB2312" w:eastAsia="仿宋_GB2312"/>
              </w:rPr>
              <w:t>①项目负责人具有相关专业高级职称得3分，中级职称得1.5分。未提供得0分。 ②项目负责人具备类似项目经验的，每提供一份类似项目业绩得1分，满分2分。 ③项目负责人除外，每增加1名人员得1分（需提供相关专业中级及以上职称或相关专业职业资格证明材料），最高得5分。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 2022年1月至今类似项目业绩（以合同签订日期为准），每提供一个计 2 分，满分10分。未提供得0分。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价格分统一采用低价优先法，即满足磋商文件要求且最后报价最低的供应商的价格为磋商基准价，其价格分为满分20分。其他供应商的价格分统一按照下列公式计算： 磋商报价得分＝（磋商基准价/最后磋商报价）×20％×100 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详见附件：资格证明材料相关附件.docx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