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版本号：ZCSP-渭南市-2025-0088120251209002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渭南市沿黄旅游道部分路段驿站提升改造及旅游标识系统建设项目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ZCSP-渭南市-2025-00881</w:t>
      </w:r>
      <w:r>
        <w:br/>
      </w:r>
      <w:r>
        <w:br/>
      </w:r>
      <w:r>
        <w:br/>
      </w:r>
    </w:p>
    <w:p>
      <w:pPr>
        <w:pStyle w:val="null3"/>
        <w:jc w:val="center"/>
        <w:outlineLvl w:val="2"/>
      </w:pPr>
      <w:r>
        <w:rPr>
          <w:rFonts w:ascii="仿宋_GB2312" w:hAnsi="仿宋_GB2312" w:cs="仿宋_GB2312" w:eastAsia="仿宋_GB2312"/>
          <w:sz w:val="28"/>
          <w:b/>
        </w:rPr>
        <w:t>渭南市文化和旅游局</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渭南市文化和旅游局</w:t>
      </w:r>
      <w:r>
        <w:rPr>
          <w:rFonts w:ascii="仿宋_GB2312" w:hAnsi="仿宋_GB2312" w:cs="仿宋_GB2312" w:eastAsia="仿宋_GB2312"/>
        </w:rPr>
        <w:t>委托，拟对</w:t>
      </w:r>
      <w:r>
        <w:rPr>
          <w:rFonts w:ascii="仿宋_GB2312" w:hAnsi="仿宋_GB2312" w:cs="仿宋_GB2312" w:eastAsia="仿宋_GB2312"/>
        </w:rPr>
        <w:t>渭南市沿黄旅游道部分路段驿站提升改造及旅游标识系统建设项目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ZCSP-渭南市-2025-00881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渭南市沿黄旅游道部分路段驿站提升改造及旅游标识系统建设项目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对沿黄公路大荔驿站实施提升改造建设，在沿黄公路大荔段、合阳段、潼关段以及G310国道华阴段、临渭段等重要交通节点布设导视牌等旅游标识系统建设。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采购包1（渭南市沿黄旅游道部分路段驿站提升改造及旅游标识系统建设项目）：属于专门面向中小企业采购。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公路交通工程专业承包资质（公路安全设施分项）二级（含二级）及以上资质或公路工程施工总承包三级（含三级）及以上资质或市政公用工程施工总承包三级（含三级）及以上资质，并具有有效的安全生产许可证；</w:t>
      </w:r>
    </w:p>
    <w:p>
      <w:pPr>
        <w:pStyle w:val="null3"/>
      </w:pPr>
      <w:r>
        <w:rPr>
          <w:rFonts w:ascii="仿宋_GB2312" w:hAnsi="仿宋_GB2312" w:cs="仿宋_GB2312" w:eastAsia="仿宋_GB2312"/>
        </w:rPr>
        <w:t>2、项目经理：拟派项目经理须具有公路工程二级及以上注册建造师资格或市政公用工程二级及以上注册建造师资格并具有有效的安全生产考核合格证，且无在建工程；</w:t>
      </w:r>
    </w:p>
    <w:p>
      <w:pPr>
        <w:pStyle w:val="null3"/>
      </w:pPr>
      <w:r>
        <w:rPr>
          <w:rFonts w:ascii="仿宋_GB2312" w:hAnsi="仿宋_GB2312" w:cs="仿宋_GB2312" w:eastAsia="仿宋_GB2312"/>
        </w:rPr>
        <w:t>3、法定代表人身份证明书/法定代表人授权书：法定代表人参与磋商时需提供法定代表人身份证明书；被授权人参与磋商时需提供法定代表人身份证明书及法定代表人授权委托书；</w:t>
      </w:r>
    </w:p>
    <w:p>
      <w:pPr>
        <w:pStyle w:val="null3"/>
      </w:pPr>
      <w:r>
        <w:rPr>
          <w:rFonts w:ascii="仿宋_GB2312" w:hAnsi="仿宋_GB2312" w:cs="仿宋_GB2312" w:eastAsia="仿宋_GB2312"/>
        </w:rPr>
        <w:t>4、磋商保证金：磋商保证金交纳凭证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0913-2931900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渭南市文化和旅游局</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1、供应商必须保证本工程质量，并按相关规定，办理工程质量检测手续，向采购人提交工程质量报告。 2、本工程以施工图纸、作法说明、设计变更等国家制订的施工及验收规范为本工程质量评定验收标准。 3、供应商应及时通知采购人对施工过程中的隐蔽工程进行检查和验收，并做好验收记录。如不及时参加验收，供应商可自行验收，采购人应予承认。 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 5、在验收过程中发现供应商有违约问题，应向财政部门建议暂缓资金结算，待违约问题解决后，方可办理资金结算事宜。</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联系人：董鹏飞</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3,600,000.00</w:t>
      </w:r>
    </w:p>
    <w:p>
      <w:pPr>
        <w:pStyle w:val="null3"/>
      </w:pPr>
      <w:r>
        <w:rPr>
          <w:rFonts w:ascii="仿宋_GB2312" w:hAnsi="仿宋_GB2312" w:cs="仿宋_GB2312" w:eastAsia="仿宋_GB2312"/>
        </w:rPr>
        <w:t>采购包最高限价（元）: 3,550,083.31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渭南市沿黄旅游道部分路段驿站提升改造及旅游标识系统建设项目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标的名称：渭南市沿黄旅游道部分路段驿站提升改造及旅游标识系统建设项目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对沿黄公路大荔驿站实施提升改造建设，在沿黄公路大荔段、合阳段、潼关段以及G310国道华阴段、临渭段等重要交通节点布设导视牌等旅游标识系统建设。</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《道路交通标志和标线》GB5768.2-2022； 《公路交通标志反光膜》GB/T18833-2012； 《道路交通标志板及支撑件》GB/T23827-2009； 《城市道路交通标志和标线设置规范》(GB51038-2015)； 《建筑结构荷载规范》GB50009-2012； 《混凝土结构设计标准》GB50010-2010； 《钢结构设计标准》GB50017-2017； 《钢结构工程施工质量验收标准》GB50205-2020； 《钢结构焊接规范》GB50661-2011； 《建筑地基基础设计规范》GB50007-2011； 其他相关的国家现行有关设计规范、规程和地方法规、标准。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（1）工期：120日历天。 （2）工程地点：沿黄公路大荔段、合阳段、潼关段以及G310国道华阴段、临渭段等。 （3）质量标准：合格，达到国家现行技术标准。 （4）质保期：自竣工验收合格之日起一年。 （5）付款方式：本工程进度付款依据工程进度情况按比例将进度应付款支付给供应商。合同签订后，拨付至合同总金额的40%，工程完工后，进度款拨付至供应商合同总金额的90%；本工程竣工验收后需要进行结算审计，最终的结算审定金额为本工程的最终合同价款；审计报告出具后采购人付清全部合同价款。（6）工程项目建设相关要求：本项目严格执行国家相关标准、行业标准、地方标准等。 （7）本工程应按图纸、工程量清单及磋商文件完成全部内容。 （8）依据磋商文件、成交人响应文件及签证单等文件进行验收。 （9）供应商严格执行安全措施和交通组织措施，以保证施工及过往行人人身安全，杜绝安全事故的发生，因施工原因造成安全事故的责任和损失由成交人自行承担，采购人概不负责任和赔偿。 （10）供应商负责施工期间与相关部门的协调，并承担相关责任及发生的相关费用，必须确保本项目施工最终验收通过。</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 xml:space="preserve"> 1.根据《政府采购法实施条例》释义，银行、保险、石油石化、电力、电信等有行业特殊情况的，允许法人的分支机构参加政府采购活动。2.中标（成交）供应商在中标（成交）结果公告发布后3个工作日内提供叁套纸质投标文件（经编标工具生成的文件直接打印并加盖公章），递交的纸质版文件内容确保与线上电子文件保持一致，不允许修改和补充。 3.成交供应商应在磋商会议结束后3日内向采购人提交最终版《工程量清单表》，供应商最终版《工程量清单表》中的总报价应与最终磋商总报价保持一致。 4.中小企业划型标准：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合法有效，提供具有独立承担民事责任的能力的证明材料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提供具有履行本合同所必需的设备和专业技术能力的说明或承诺；（承诺函格式自拟，并进行签章）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参加政府采购活动前三年内在经营活动中无重大违法记录的书面声明；（声明函格式自拟，并进行签章）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本项目专门面向中小企业采购，本项目所属行业为：建筑业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公路交通工程专业承包资质（公路安全设施分项）二级（含二级）及以上资质或公路工程施工总承包三级（含三级）及以上资质或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拟派项目经理须具有公路工程二级及以上注册建造师资格或市政公用工程二级及以上注册建造师资格并具有有效的安全生产考核合格证，且无在建工程；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技术方案.docx 项目管理机构组成表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法定代表人参与磋商时需提供法定代表人身份证明书；被授权人参与磋商时需提供法定代表人身份证明书及法定代表人授权委托书；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供应商名称应与营业执照、资质证书、安全生产许可证及获取磋商文件时相一致</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供应商应提交的相关资格证明材料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供应商应提交的相关资格证明材料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工期是否满足磋商文件规定</w:t>
            </w:r>
          </w:p>
        </w:tc>
        <w:tc>
          <w:tcPr>
            <w:tcW w:type="dxa" w:w="1661"/>
          </w:tcPr>
          <w:p>
            <w:pPr>
              <w:pStyle w:val="null3"/>
            </w:pPr>
            <w:r>
              <w:rPr>
                <w:rFonts w:ascii="仿宋_GB2312" w:hAnsi="仿宋_GB2312" w:cs="仿宋_GB2312" w:eastAsia="仿宋_GB2312"/>
              </w:rPr>
              <w:t>技术服务合同条款及其他商务要求应答表.docx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供应商应提交的相关资格证明材料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无其他无效磋商处理的情况</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供应商应提交的相关资格证明材料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评审得分相同的，按照最后报价由低到高的顺序推荐。评审得分且最后报价相同的，按照技术指标优劣顺序推荐。评审得分且最后报价且技术指标得分均相同的，由磋商小组无记名投票推荐。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③施工目标：安全目标、工期目标、质量目标； ④资源配备计划：主要施工机械设备、劳动力等配备计划及主材进场计划；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②施工方法及相关技术措施； ③重点难点工程分析及解决措施。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 ②安全生产保证措施。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①文明施工及环境保护管理体系； ②防尘降噪措施； ③文明施工及环境保护措施。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评审内容： （1）项目管理机构中每具有一个工程类中级职称得0.5分，具有高级职称得1分；本项最高得2分。 （2）根据项目人员配备情况：拟投入的项目管理机构人员结构合理、岗位职责明确，除项目经理外，项目管理机构配备6人以上（含6人）得3分，每少1人扣0.5分，扣完为止，本项最高得3分； 注：须提供人员相关证件，不提供或完全背离评审标准得0分。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每提出一条有利于本项目实施的合理化建议得1分。本项最高得4分。未提供或提出的建议与本项目无关或无可行性的得0分。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供应商提供近三年（2022年12月至今）的类似业绩，每提供一份得1分，最多得3分，未提供得0分。（提供合同扫描件，以合同签订时间为准）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满足竞争性磋商文件要求且磋商价格最低的最终磋商报价为磋商基准价，得满分40分； (3) 磋商报价得分=(磋商基准价／最终磋商报价)×40%×100。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