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版本号：ZCSP-渭南市-2025-00874、XHLJZC-WN2025-13920251209001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“解码关中沃土，感知时代脉动”网络主题活动项目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ZCSP-渭南市-2025-00874、XHLJZC-WN2025-139</w:t>
      </w:r>
      <w:r>
        <w:br/>
      </w:r>
      <w:r>
        <w:br/>
      </w:r>
      <w:r>
        <w:br/>
      </w:r>
    </w:p>
    <w:p>
      <w:pPr>
        <w:pStyle w:val="null3"/>
        <w:jc w:val="center"/>
        <w:outlineLvl w:val="2"/>
      </w:pPr>
      <w:r>
        <w:rPr>
          <w:rFonts w:ascii="仿宋_GB2312" w:hAnsi="仿宋_GB2312" w:cs="仿宋_GB2312" w:eastAsia="仿宋_GB2312"/>
          <w:sz w:val="28"/>
          <w:b/>
        </w:rPr>
        <w:t>渭南市互联网信息办公室</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渭南市互联网信息办公室</w:t>
      </w:r>
      <w:r>
        <w:rPr>
          <w:rFonts w:ascii="仿宋_GB2312" w:hAnsi="仿宋_GB2312" w:cs="仿宋_GB2312" w:eastAsia="仿宋_GB2312"/>
        </w:rPr>
        <w:t>委托，拟对</w:t>
      </w:r>
      <w:r>
        <w:rPr>
          <w:rFonts w:ascii="仿宋_GB2312" w:hAnsi="仿宋_GB2312" w:cs="仿宋_GB2312" w:eastAsia="仿宋_GB2312"/>
        </w:rPr>
        <w:t>“解码关中沃土，感知时代脉动”网络主题活动项目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ZCSP-渭南市-2025-00874、XHLJZC-WN2025-139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“解码关中沃土，感知时代脉动”网络主题活动项目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“解码关中沃土，感知时代脉动”网络主题活动，详见磋商文件。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8、资质条件：供应商应具有中华人民共和国互联网新闻信息服务许可证。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0913-2930125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渭南市互联网信息办公室</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渭南市互联网信息办公室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联系人：赵温馨</w:t>
      </w:r>
    </w:p>
    <w:p>
      <w:pPr>
        <w:pStyle w:val="null3"/>
      </w:pPr>
      <w:r>
        <w:rPr>
          <w:rFonts w:ascii="仿宋_GB2312" w:hAnsi="仿宋_GB2312" w:cs="仿宋_GB2312" w:eastAsia="仿宋_GB2312"/>
        </w:rPr>
        <w:t>联系电话：029-82528801、029-89183511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“解码关中沃土，感知时代脉动”网络主题活动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“解码关中沃土 感知时代脉动”网络主题活动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标的名称：“解码关中沃土 感知时代脉动”网络主题活动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color w:val="000000"/>
              </w:rPr>
              <w:t>为进一步凝聚自媒体力量、赋能渭南高质量发展，进行“解码关中沃土 感知时代脉动”网络主题活动。组织中省媒体、市内自媒体代表团深入有关县(市、区)采风，通过权威报道和自媒体人视角进行拍摄、剪辑、制作、宣传等服务，全方位展现渭南市在现代化产业体系、特色农业、重点项目及文旅发展等方面的创新实践与成就，提升渭南影响力。</w:t>
            </w:r>
          </w:p>
          <w:p>
            <w:pPr>
              <w:pStyle w:val="null3"/>
              <w:ind w:firstLine="480"/>
              <w:jc w:val="left"/>
            </w:pPr>
            <w:r>
              <w:rPr>
                <w:rFonts w:ascii="仿宋_GB2312" w:hAnsi="仿宋_GB2312" w:cs="仿宋_GB2312" w:eastAsia="仿宋_GB2312"/>
                <w:sz w:val="21"/>
                <w:color w:val="000000"/>
              </w:rPr>
              <w:t>一、采购内容</w:t>
            </w:r>
          </w:p>
          <w:p>
            <w:pPr>
              <w:pStyle w:val="null3"/>
              <w:ind w:firstLine="480"/>
              <w:jc w:val="left"/>
            </w:pPr>
            <w:r>
              <w:rPr>
                <w:rFonts w:ascii="仿宋_GB2312" w:hAnsi="仿宋_GB2312" w:cs="仿宋_GB2312" w:eastAsia="仿宋_GB2312"/>
                <w:sz w:val="21"/>
                <w:color w:val="000000"/>
              </w:rPr>
              <w:t>1.活动整体策划及项目统筹执行；</w:t>
            </w:r>
          </w:p>
          <w:p>
            <w:pPr>
              <w:pStyle w:val="null3"/>
              <w:ind w:firstLine="480"/>
              <w:jc w:val="left"/>
            </w:pPr>
            <w:r>
              <w:rPr>
                <w:rFonts w:ascii="仿宋_GB2312" w:hAnsi="仿宋_GB2312" w:cs="仿宋_GB2312" w:eastAsia="仿宋_GB2312"/>
                <w:sz w:val="21"/>
                <w:color w:val="000000"/>
              </w:rPr>
              <w:t>2.组织自媒体代表及主流媒体采访团依次前往渭南韩城市、大荔县、蒲城县、富平县、高新区等地开展行进式采访报道，时长共5天；</w:t>
            </w:r>
          </w:p>
          <w:p>
            <w:pPr>
              <w:pStyle w:val="null3"/>
              <w:ind w:firstLine="480"/>
              <w:jc w:val="left"/>
            </w:pPr>
            <w:r>
              <w:rPr>
                <w:rFonts w:ascii="仿宋_GB2312" w:hAnsi="仿宋_GB2312" w:cs="仿宋_GB2312" w:eastAsia="仿宋_GB2312"/>
                <w:sz w:val="21"/>
                <w:color w:val="000000"/>
              </w:rPr>
              <w:t>3.邀请8-10家主流媒体代表参与此次采访团实地采访（含食、宿、交通、保险、医疗保障等费用）；</w:t>
            </w:r>
          </w:p>
          <w:p>
            <w:pPr>
              <w:pStyle w:val="null3"/>
              <w:ind w:firstLine="480"/>
              <w:jc w:val="left"/>
            </w:pPr>
            <w:r>
              <w:rPr>
                <w:rFonts w:ascii="仿宋_GB2312" w:hAnsi="仿宋_GB2312" w:cs="仿宋_GB2312" w:eastAsia="仿宋_GB2312"/>
                <w:sz w:val="21"/>
                <w:color w:val="000000"/>
              </w:rPr>
              <w:t>4.邀请相关领域自媒体代表（8-10名）参与此次采访团实地采访（含食、宿、交通、保险、医疗保障等费用）；</w:t>
            </w:r>
          </w:p>
          <w:p>
            <w:pPr>
              <w:pStyle w:val="null3"/>
              <w:ind w:firstLine="480"/>
              <w:jc w:val="left"/>
            </w:pPr>
            <w:r>
              <w:rPr>
                <w:rFonts w:ascii="仿宋_GB2312" w:hAnsi="仿宋_GB2312" w:cs="仿宋_GB2312" w:eastAsia="仿宋_GB2312"/>
                <w:sz w:val="21"/>
                <w:color w:val="000000"/>
              </w:rPr>
              <w:t>5.活动物料制作：活动主K设计、桌签、手提袋、行程卡、横幅、旗帜、服装等媒体行物料；</w:t>
            </w:r>
          </w:p>
          <w:p>
            <w:pPr>
              <w:pStyle w:val="null3"/>
              <w:ind w:firstLine="480"/>
              <w:jc w:val="left"/>
            </w:pPr>
            <w:r>
              <w:rPr>
                <w:rFonts w:ascii="仿宋_GB2312" w:hAnsi="仿宋_GB2312" w:cs="仿宋_GB2312" w:eastAsia="仿宋_GB2312"/>
                <w:sz w:val="21"/>
                <w:color w:val="000000"/>
              </w:rPr>
              <w:t>6.渭南市自媒体协会宣传培训经费。</w:t>
            </w:r>
          </w:p>
          <w:p>
            <w:pPr>
              <w:pStyle w:val="null3"/>
              <w:ind w:firstLine="480"/>
              <w:jc w:val="left"/>
            </w:pPr>
            <w:r>
              <w:rPr>
                <w:rFonts w:ascii="仿宋_GB2312" w:hAnsi="仿宋_GB2312" w:cs="仿宋_GB2312" w:eastAsia="仿宋_GB2312"/>
                <w:sz w:val="21"/>
                <w:color w:val="000000"/>
              </w:rPr>
              <w:t>二、采购要求</w:t>
            </w:r>
          </w:p>
          <w:p>
            <w:pPr>
              <w:pStyle w:val="null3"/>
              <w:ind w:firstLine="480"/>
              <w:jc w:val="left"/>
            </w:pPr>
            <w:r>
              <w:rPr>
                <w:rFonts w:ascii="仿宋_GB2312" w:hAnsi="仿宋_GB2312" w:cs="仿宋_GB2312" w:eastAsia="仿宋_GB2312"/>
                <w:sz w:val="21"/>
                <w:color w:val="000000"/>
              </w:rPr>
              <w:t>1.活动定位严格按照相关规格标准执行；</w:t>
            </w:r>
          </w:p>
          <w:p>
            <w:pPr>
              <w:pStyle w:val="null3"/>
              <w:ind w:firstLine="480"/>
              <w:jc w:val="left"/>
            </w:pPr>
            <w:r>
              <w:rPr>
                <w:rFonts w:ascii="仿宋_GB2312" w:hAnsi="仿宋_GB2312" w:cs="仿宋_GB2312" w:eastAsia="仿宋_GB2312"/>
                <w:sz w:val="21"/>
                <w:color w:val="000000"/>
              </w:rPr>
              <w:t>2.能够按照采购人要求给出活动整体策划执行方案和预算费用详单；</w:t>
            </w:r>
          </w:p>
          <w:p>
            <w:pPr>
              <w:pStyle w:val="null3"/>
              <w:ind w:firstLine="480"/>
              <w:jc w:val="left"/>
            </w:pPr>
            <w:r>
              <w:rPr>
                <w:rFonts w:ascii="仿宋_GB2312" w:hAnsi="仿宋_GB2312" w:cs="仿宋_GB2312" w:eastAsia="仿宋_GB2312"/>
                <w:sz w:val="21"/>
                <w:color w:val="000000"/>
              </w:rPr>
              <w:t>3.“解码关中沃土”微博话题阅读量不低于500万；</w:t>
            </w:r>
          </w:p>
          <w:p>
            <w:pPr>
              <w:pStyle w:val="null3"/>
              <w:ind w:firstLine="480"/>
              <w:jc w:val="left"/>
            </w:pPr>
            <w:r>
              <w:rPr>
                <w:rFonts w:ascii="仿宋_GB2312" w:hAnsi="仿宋_GB2312" w:cs="仿宋_GB2312" w:eastAsia="仿宋_GB2312"/>
                <w:sz w:val="21"/>
                <w:color w:val="000000"/>
              </w:rPr>
              <w:t>4.原创报道不少于30篇，短视频产品不少于5个，海报不少于10幅，融媒体产品不少于1件；</w:t>
            </w:r>
          </w:p>
          <w:p>
            <w:pPr>
              <w:pStyle w:val="null3"/>
              <w:ind w:firstLine="480"/>
              <w:jc w:val="left"/>
            </w:pPr>
            <w:r>
              <w:rPr>
                <w:rFonts w:ascii="仿宋_GB2312" w:hAnsi="仿宋_GB2312" w:cs="仿宋_GB2312" w:eastAsia="仿宋_GB2312"/>
                <w:sz w:val="21"/>
                <w:color w:val="000000"/>
              </w:rPr>
              <w:t>5.所有宣传均在活动结束前完成，宣传物料、材料等在活动启动前100%完成；</w:t>
            </w:r>
          </w:p>
          <w:p>
            <w:pPr>
              <w:pStyle w:val="null3"/>
            </w:pPr>
            <w:r>
              <w:rPr>
                <w:rFonts w:ascii="仿宋_GB2312" w:hAnsi="仿宋_GB2312" w:cs="仿宋_GB2312" w:eastAsia="仿宋_GB2312"/>
                <w:sz w:val="21"/>
                <w:color w:val="000000"/>
              </w:rPr>
              <w:t xml:space="preserve">   6.通过网络专题设置、融媒体产品等形式，内容可长期留存和传播。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渭南市互联网信息办公室指定地点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整个项目实施完成后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资质条件</w:t>
            </w:r>
          </w:p>
        </w:tc>
        <w:tc>
          <w:tcPr>
            <w:tcW w:type="dxa" w:w="3322"/>
          </w:tcPr>
          <w:p>
            <w:pPr>
              <w:pStyle w:val="null3"/>
            </w:pPr>
            <w:r>
              <w:rPr>
                <w:rFonts w:ascii="仿宋_GB2312" w:hAnsi="仿宋_GB2312" w:cs="仿宋_GB2312" w:eastAsia="仿宋_GB2312"/>
              </w:rPr>
              <w:t>供应商应具有中华人民共和国互联网新闻信息服务许可证。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 （2）未出现选择性报价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 （2）未附有采购人不能接受的条件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每完全满足一项评审标准得4分，基本满足得2分，不满足或未提供不得分；满分12分。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工作进度安排</w:t>
            </w:r>
          </w:p>
        </w:tc>
        <w:tc>
          <w:tcPr>
            <w:tcW w:type="dxa" w:w="2492"/>
          </w:tcPr>
          <w:p>
            <w:pPr>
              <w:pStyle w:val="null3"/>
            </w:pPr>
            <w:r>
              <w:rPr>
                <w:rFonts w:ascii="仿宋_GB2312" w:hAnsi="仿宋_GB2312" w:cs="仿宋_GB2312" w:eastAsia="仿宋_GB2312"/>
              </w:rPr>
              <w:t>1、评审内容 供应商提供针对本项目的工作进度安排，方案内容括： ①工作进度安排方案 ②工作进度保障措施。 2、评审标准 ①完整性：必须全面，对评审内容中的各项要求有详细描述； ②可实施性：切合本项目实际情况，提出步骤清晰、合理的内容； ③针对性：能紧扣项目实际情况，内容科学合理。 3、赋分标准 ①工作进度安排方案：每完全满足一项评审标准得1.5分，满分4.5分； ②工作进度保障措施：每完全满足一项评审标准得1.5分，满分4.5分。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提供针对本项目的应急措施，项目实施过程中针对突发事件和重大业务时间节点的风险防范措施及应急突发事件的处理预案。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每完全满足一项评审标准得3分，基本满足得1.5分，不满足或未提供不得分；满分9分。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供应商提供项目实施过程中的质量保障措施，内容包括： ①质量目标管理制度； ②响应时间保障措施； ③工作资料保障措施。 2、评审标准 ①完整性：必须全面，对评审内容中的各项要求有详细描述； ②可实施性：切合本项目实际情况，提出步骤清晰、合理的内容； ③针对性：方案能紧扣项目实际情况，内容科学合理。 3、赋分标准 ①质量目标管理制度：每完全满足一项评审标准得1分，满分3分； ②响应时间保障措施：每完全满足一项评审标准得1分，满分3分； ③工作资料保障措施：每完全满足一项评审标准得1分，满分3分。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①完整性：方案须全面，对评审内容中的各项要求有详细描述及说明； ②可实施性：切合本项目实际情况，实施步骤清晰、合理； ③针对性：方案能够紧扣项目实际情况，内容科学合理。 3、赋分标准 每完全满足一项评审标准得3分，基本满足得1.5分，不满足或未提供不得分；满分9分。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提供2022年1月1日以来供应商类似项目的业绩合同（以合同签订日期为准），附业绩合同复印件加盖公章，每份3分，满分9分；未提供不计分。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①服务质量承诺：每完全满足一项评审标准得1.5分，满分4.5分； ②服务体系及响应时间：每完全满足一项评审标准得1.5分，满分4.5分。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