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A34CAD">
      <w:pPr>
        <w:pageBreakBefore w:val="0"/>
        <w:kinsoku/>
        <w:overflowPunct/>
        <w:bidi w:val="0"/>
        <w:spacing w:line="500" w:lineRule="exact"/>
        <w:jc w:val="center"/>
        <w:outlineLvl w:val="0"/>
        <w:rPr>
          <w:rFonts w:hint="eastAsia" w:ascii="仿宋" w:hAnsi="仿宋" w:eastAsia="仿宋" w:cs="仿宋"/>
          <w:b/>
          <w:sz w:val="40"/>
          <w:szCs w:val="40"/>
          <w:highlight w:val="none"/>
        </w:rPr>
      </w:pPr>
      <w:r>
        <w:rPr>
          <w:rFonts w:hint="eastAsia" w:ascii="仿宋" w:hAnsi="仿宋" w:eastAsia="仿宋" w:cs="仿宋"/>
          <w:b/>
          <w:sz w:val="40"/>
          <w:szCs w:val="40"/>
          <w:highlight w:val="none"/>
        </w:rPr>
        <w:t>合同</w:t>
      </w:r>
      <w:bookmarkStart w:id="0" w:name="_Toc16938559"/>
      <w:bookmarkStart w:id="1" w:name="_Toc513029243"/>
      <w:bookmarkStart w:id="2" w:name="_Toc20823315"/>
      <w:r>
        <w:rPr>
          <w:rFonts w:hint="eastAsia" w:ascii="仿宋" w:hAnsi="仿宋" w:eastAsia="仿宋" w:cs="仿宋"/>
          <w:b/>
          <w:sz w:val="40"/>
          <w:szCs w:val="40"/>
          <w:highlight w:val="none"/>
        </w:rPr>
        <w:t>范本</w:t>
      </w:r>
    </w:p>
    <w:bookmarkEnd w:id="0"/>
    <w:bookmarkEnd w:id="1"/>
    <w:bookmarkEnd w:id="2"/>
    <w:p w14:paraId="7A5BB8C8">
      <w:pPr>
        <w:pStyle w:val="25"/>
        <w:keepNext w:val="0"/>
        <w:keepLines w:val="0"/>
        <w:pageBreakBefore w:val="0"/>
        <w:widowControl w:val="0"/>
        <w:kinsoku w:val="0"/>
        <w:wordWrap/>
        <w:overflowPunct/>
        <w:topLinePunct w:val="0"/>
        <w:autoSpaceDE w:val="0"/>
        <w:autoSpaceDN w:val="0"/>
        <w:bidi w:val="0"/>
        <w:adjustRightInd w:val="0"/>
        <w:snapToGrid w:val="0"/>
        <w:spacing w:before="0" w:after="0" w:line="800" w:lineRule="exact"/>
        <w:ind w:firstLine="0"/>
        <w:jc w:val="both"/>
        <w:textAlignment w:val="baseline"/>
        <w:rPr>
          <w:rFonts w:hint="eastAsia" w:ascii="仿宋" w:hAnsi="仿宋" w:eastAsia="仿宋" w:cs="仿宋"/>
          <w:b/>
          <w:bCs/>
          <w:sz w:val="52"/>
          <w:szCs w:val="52"/>
          <w:highlight w:val="none"/>
          <w:lang w:val="zh-CN" w:eastAsia="zh-CN"/>
        </w:rPr>
      </w:pPr>
    </w:p>
    <w:p w14:paraId="1FF4F13F">
      <w:pPr>
        <w:pStyle w:val="25"/>
        <w:keepNext w:val="0"/>
        <w:keepLines w:val="0"/>
        <w:pageBreakBefore w:val="0"/>
        <w:widowControl w:val="0"/>
        <w:kinsoku w:val="0"/>
        <w:wordWrap/>
        <w:overflowPunct/>
        <w:topLinePunct w:val="0"/>
        <w:autoSpaceDE w:val="0"/>
        <w:autoSpaceDN w:val="0"/>
        <w:bidi w:val="0"/>
        <w:adjustRightInd w:val="0"/>
        <w:snapToGrid w:val="0"/>
        <w:spacing w:before="0" w:after="0" w:line="800" w:lineRule="exact"/>
        <w:ind w:firstLine="0"/>
        <w:jc w:val="center"/>
        <w:textAlignment w:val="baseline"/>
        <w:rPr>
          <w:rFonts w:hint="eastAsia" w:ascii="仿宋" w:hAnsi="仿宋" w:eastAsia="仿宋" w:cs="仿宋"/>
          <w:b/>
          <w:bCs/>
          <w:sz w:val="48"/>
          <w:szCs w:val="48"/>
          <w:highlight w:val="none"/>
          <w:lang w:val="zh-CN" w:eastAsia="zh-CN"/>
        </w:rPr>
      </w:pPr>
      <w:r>
        <w:rPr>
          <w:rFonts w:hint="eastAsia" w:ascii="仿宋" w:hAnsi="仿宋" w:eastAsia="仿宋" w:cs="仿宋"/>
          <w:b/>
          <w:bCs/>
          <w:sz w:val="52"/>
          <w:szCs w:val="52"/>
          <w:highlight w:val="none"/>
          <w:lang w:val="zh-CN" w:eastAsia="zh-CN"/>
        </w:rPr>
        <w:br w:type="textWrapping"/>
      </w:r>
      <w:bookmarkStart w:id="3" w:name="OLE_LINK2"/>
      <w:bookmarkStart w:id="4" w:name="OLE_LINK1"/>
      <w:r>
        <w:rPr>
          <w:rFonts w:hint="eastAsia" w:ascii="仿宋" w:hAnsi="仿宋" w:eastAsia="仿宋" w:cs="仿宋"/>
          <w:b/>
          <w:bCs/>
          <w:sz w:val="48"/>
          <w:szCs w:val="48"/>
          <w:highlight w:val="none"/>
          <w:lang w:val="zh-CN" w:eastAsia="zh-CN"/>
        </w:rPr>
        <w:t>渭南市互联网信息办公室</w:t>
      </w:r>
      <w:bookmarkEnd w:id="3"/>
      <w:r>
        <w:rPr>
          <w:rFonts w:hint="eastAsia" w:ascii="仿宋" w:hAnsi="仿宋" w:eastAsia="仿宋" w:cs="仿宋"/>
          <w:b/>
          <w:bCs/>
          <w:sz w:val="48"/>
          <w:szCs w:val="48"/>
          <w:highlight w:val="none"/>
          <w:lang w:val="zh-CN" w:eastAsia="zh-CN"/>
        </w:rPr>
        <w:t>“解码关中沃土，感知时代脉动”网络主题活动项目</w:t>
      </w:r>
    </w:p>
    <w:bookmarkEnd w:id="4"/>
    <w:p w14:paraId="3C4B755D">
      <w:pPr>
        <w:rPr>
          <w:rFonts w:hint="eastAsia"/>
        </w:rPr>
      </w:pPr>
    </w:p>
    <w:p w14:paraId="18703F87">
      <w:pPr>
        <w:pStyle w:val="2"/>
        <w:rPr>
          <w:rFonts w:hint="eastAsia"/>
        </w:rPr>
      </w:pPr>
    </w:p>
    <w:p w14:paraId="6A3CD7B3">
      <w:pPr>
        <w:pStyle w:val="10"/>
        <w:rPr>
          <w:rFonts w:hint="eastAsia"/>
        </w:rPr>
      </w:pPr>
    </w:p>
    <w:p w14:paraId="426BED90">
      <w:pPr>
        <w:jc w:val="center"/>
        <w:rPr>
          <w:rFonts w:hint="eastAsia" w:ascii="仿宋" w:hAnsi="仿宋" w:eastAsia="仿宋" w:cs="仿宋"/>
          <w:b/>
          <w:kern w:val="0"/>
          <w:sz w:val="52"/>
          <w:szCs w:val="52"/>
        </w:rPr>
      </w:pPr>
      <w:r>
        <w:rPr>
          <w:rFonts w:hint="eastAsia" w:ascii="仿宋" w:hAnsi="仿宋" w:eastAsia="仿宋" w:cs="仿宋"/>
          <w:b/>
          <w:kern w:val="0"/>
          <w:sz w:val="52"/>
          <w:szCs w:val="52"/>
        </w:rPr>
        <w:t>合 同 书</w:t>
      </w:r>
    </w:p>
    <w:p w14:paraId="29064B6A">
      <w:pPr>
        <w:pStyle w:val="10"/>
        <w:rPr>
          <w:rFonts w:ascii="仿宋" w:hAnsi="仿宋" w:cs="仿宋"/>
        </w:rPr>
      </w:pPr>
    </w:p>
    <w:p w14:paraId="4FA89FF3">
      <w:pPr>
        <w:pStyle w:val="7"/>
        <w:spacing w:after="0"/>
        <w:jc w:val="center"/>
        <w:rPr>
          <w:rFonts w:hint="eastAsia" w:ascii="仿宋" w:hAnsi="仿宋" w:eastAsia="仿宋" w:cs="仿宋"/>
          <w:b/>
          <w:bCs/>
          <w:sz w:val="28"/>
          <w:szCs w:val="28"/>
        </w:rPr>
      </w:pPr>
      <w:r>
        <w:rPr>
          <w:rFonts w:hint="eastAsia" w:ascii="仿宋" w:hAnsi="仿宋" w:eastAsia="仿宋" w:cs="仿宋"/>
          <w:b/>
          <w:bCs/>
          <w:sz w:val="28"/>
          <w:szCs w:val="28"/>
        </w:rPr>
        <w:t>（本格式条款为合同基础条款，甲乙双方可根据项目实际情况增加条款和内容）</w:t>
      </w:r>
    </w:p>
    <w:p w14:paraId="4892EBDC">
      <w:pPr>
        <w:pStyle w:val="7"/>
        <w:rPr>
          <w:rFonts w:hint="eastAsia" w:ascii="仿宋" w:hAnsi="仿宋" w:eastAsia="仿宋" w:cs="仿宋"/>
        </w:rPr>
      </w:pPr>
    </w:p>
    <w:p w14:paraId="7E86F889">
      <w:pPr>
        <w:pStyle w:val="7"/>
        <w:rPr>
          <w:rFonts w:ascii="仿宋" w:hAnsi="仿宋" w:cs="仿宋"/>
        </w:rPr>
      </w:pPr>
    </w:p>
    <w:p w14:paraId="22373C58">
      <w:pPr>
        <w:rPr>
          <w:rFonts w:hint="eastAsia" w:ascii="仿宋" w:hAnsi="仿宋" w:eastAsia="仿宋" w:cs="仿宋"/>
        </w:rPr>
      </w:pPr>
    </w:p>
    <w:p w14:paraId="1DBEDFEB">
      <w:pPr>
        <w:rPr>
          <w:rFonts w:hint="eastAsia" w:ascii="仿宋" w:hAnsi="仿宋" w:eastAsia="仿宋" w:cs="仿宋"/>
        </w:rPr>
      </w:pPr>
    </w:p>
    <w:p w14:paraId="0759F168">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02C8AD26">
      <w:pPr>
        <w:pStyle w:val="11"/>
        <w:ind w:left="0" w:leftChars="0"/>
        <w:rPr>
          <w:rFonts w:hint="eastAsia" w:ascii="仿宋" w:hAnsi="仿宋" w:eastAsia="仿宋" w:cs="仿宋"/>
        </w:rPr>
      </w:pPr>
    </w:p>
    <w:p w14:paraId="2925B1E6">
      <w:pPr>
        <w:rPr>
          <w:rFonts w:hint="eastAsia" w:ascii="仿宋" w:hAnsi="仿宋" w:eastAsia="仿宋" w:cs="仿宋"/>
        </w:rPr>
      </w:pPr>
    </w:p>
    <w:p w14:paraId="4D656FF0">
      <w:pPr>
        <w:pStyle w:val="17"/>
        <w:ind w:left="0" w:leftChars="0" w:firstLine="0" w:firstLineChars="0"/>
        <w:rPr>
          <w:rFonts w:ascii="仿宋" w:hAnsi="仿宋" w:cs="仿宋"/>
        </w:rPr>
      </w:pPr>
    </w:p>
    <w:p w14:paraId="053C8F1A"/>
    <w:p w14:paraId="743D4AB3">
      <w:pPr>
        <w:pStyle w:val="10"/>
      </w:pPr>
    </w:p>
    <w:p w14:paraId="34EC11A9">
      <w:pPr>
        <w:pStyle w:val="10"/>
      </w:pPr>
    </w:p>
    <w:p w14:paraId="39D94D65">
      <w:pPr>
        <w:pStyle w:val="10"/>
      </w:pPr>
    </w:p>
    <w:p w14:paraId="12AC978E"/>
    <w:p w14:paraId="3A18C670">
      <w:pPr>
        <w:rPr>
          <w:rFonts w:hint="eastAsia" w:ascii="仿宋" w:hAnsi="仿宋" w:eastAsia="仿宋" w:cs="仿宋"/>
        </w:rPr>
      </w:pPr>
    </w:p>
    <w:p w14:paraId="5ACB06CA">
      <w:pPr>
        <w:pStyle w:val="7"/>
        <w:rPr>
          <w:rFonts w:ascii="仿宋" w:hAnsi="仿宋" w:cs="仿宋"/>
        </w:rPr>
      </w:pPr>
    </w:p>
    <w:p w14:paraId="66705715">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spacing w:val="23"/>
          <w:sz w:val="32"/>
          <w:szCs w:val="32"/>
          <w:lang w:bidi="ar"/>
        </w:rPr>
        <w:fldChar w:fldCharType="separate"/>
      </w:r>
      <w:r>
        <w:rPr>
          <w:rStyle w:val="20"/>
          <w:rFonts w:hint="default" w:ascii="仿宋" w:hAnsi="仿宋" w:eastAsia="仿宋" w:cs="仿宋"/>
          <w:b/>
          <w:color w:val="auto"/>
          <w:spacing w:val="23"/>
          <w:sz w:val="32"/>
          <w:szCs w:val="32"/>
        </w:rPr>
        <w:t>采购人</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48E39EE0">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20"/>
          <w:rFonts w:hint="default"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（供应商）：</w:t>
      </w:r>
      <w:r>
        <w:rPr>
          <w:rFonts w:hint="eastAsia" w:ascii="仿宋" w:hAnsi="仿宋" w:eastAsia="仿宋" w:cs="仿宋"/>
          <w:b/>
          <w:spacing w:val="23"/>
          <w:sz w:val="32"/>
          <w:szCs w:val="32"/>
          <w:u w:val="single"/>
          <w:lang w:bidi="ar"/>
        </w:rPr>
        <w:t xml:space="preserve">           .</w:t>
      </w:r>
    </w:p>
    <w:p w14:paraId="0E3619F2">
      <w:pPr>
        <w:pStyle w:val="13"/>
        <w:adjustRightInd w:val="0"/>
        <w:spacing w:line="560" w:lineRule="exact"/>
        <w:rPr>
          <w:rFonts w:hint="eastAsia" w:ascii="仿宋" w:hAnsi="仿宋" w:eastAsia="仿宋" w:cs="仿宋"/>
          <w:b/>
          <w:spacing w:val="23"/>
          <w:kern w:val="0"/>
          <w:sz w:val="32"/>
          <w:szCs w:val="32"/>
          <w:lang w:bidi="ar"/>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2F3220D3">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7FD272A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068DAA2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346BCEF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w:t>
      </w:r>
      <w:r>
        <w:rPr>
          <w:rFonts w:hint="eastAsia" w:ascii="仿宋" w:hAnsi="仿宋" w:eastAsia="仿宋" w:cs="仿宋"/>
          <w:bCs/>
          <w:sz w:val="28"/>
          <w:szCs w:val="28"/>
          <w:highlight w:val="none"/>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，经协商一致，订立本合同，供双方共同遵守：</w:t>
      </w:r>
    </w:p>
    <w:p w14:paraId="2AE781FD">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 xml:space="preserve">第一条 </w:t>
      </w:r>
      <w:r>
        <w:rPr>
          <w:rFonts w:hint="eastAsia" w:ascii="仿宋" w:hAnsi="仿宋" w:eastAsia="仿宋" w:cs="仿宋"/>
          <w:b/>
          <w:bCs w:val="0"/>
          <w:color w:val="000000"/>
          <w:sz w:val="28"/>
          <w:szCs w:val="28"/>
          <w:highlight w:val="none"/>
          <w:lang w:bidi="ar"/>
        </w:rPr>
        <w:t>项目概况</w:t>
      </w:r>
    </w:p>
    <w:p w14:paraId="2F0B40A2">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5B887342">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05CD078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4C46B992">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eastAsia="zh-CN" w:bidi="ar"/>
        </w:rPr>
        <w:t>第</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eastAsia="zh-CN"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w:t>
      </w:r>
      <w:r>
        <w:rPr>
          <w:rFonts w:hint="eastAsia" w:ascii="仿宋" w:hAnsi="仿宋" w:eastAsia="仿宋" w:cs="仿宋"/>
          <w:b/>
          <w:bCs/>
          <w:sz w:val="28"/>
          <w:szCs w:val="28"/>
          <w:highlight w:val="none"/>
          <w:lang w:val="zh-CN"/>
        </w:rPr>
        <w:t>服务期限</w:t>
      </w:r>
    </w:p>
    <w:p w14:paraId="2C5F830E">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default" w:ascii="仿宋" w:hAnsi="仿宋" w:eastAsia="仿宋" w:cs="仿宋"/>
          <w:kern w:val="0"/>
          <w:sz w:val="28"/>
          <w:szCs w:val="28"/>
          <w:highlight w:val="none"/>
          <w:lang w:val="en-US"/>
        </w:rPr>
      </w:pPr>
      <w:r>
        <w:rPr>
          <w:rFonts w:hint="eastAsia" w:ascii="仿宋" w:hAnsi="仿宋" w:eastAsia="仿宋" w:cs="仿宋"/>
          <w:b w:val="0"/>
          <w:bCs/>
          <w:color w:val="auto"/>
          <w:sz w:val="28"/>
          <w:szCs w:val="28"/>
          <w:highlight w:val="none"/>
          <w:lang w:eastAsia="zh-CN"/>
        </w:rPr>
        <w:t>服务期限：</w:t>
      </w:r>
      <w:r>
        <w:rPr>
          <w:rFonts w:hint="eastAsia" w:ascii="仿宋" w:hAnsi="仿宋" w:eastAsia="仿宋" w:cs="仿宋"/>
          <w:b w:val="0"/>
          <w:bCs/>
          <w:color w:val="auto"/>
          <w:sz w:val="28"/>
          <w:szCs w:val="28"/>
          <w:highlight w:val="none"/>
          <w:lang w:val="en-US" w:eastAsia="zh-CN"/>
        </w:rPr>
        <w:t>自合同签订之日起90日历天</w:t>
      </w:r>
    </w:p>
    <w:p w14:paraId="65908EA0">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费用的结算</w:t>
      </w:r>
    </w:p>
    <w:p w14:paraId="73CA497C">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1、结算依据：本项目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color w:val="auto"/>
          <w:kern w:val="0"/>
          <w:sz w:val="28"/>
          <w:szCs w:val="28"/>
          <w:highlight w:val="none"/>
        </w:rPr>
        <w:t>乙方</w:t>
      </w:r>
      <w:r>
        <w:rPr>
          <w:rFonts w:hint="eastAsia" w:ascii="仿宋" w:hAnsi="仿宋" w:eastAsia="仿宋" w:cs="仿宋"/>
          <w:color w:val="auto"/>
          <w:kern w:val="0"/>
          <w:sz w:val="28"/>
          <w:szCs w:val="28"/>
          <w:highlight w:val="none"/>
        </w:rPr>
        <w:fldChar w:fldCharType="begin"/>
      </w:r>
      <w:r>
        <w:rPr>
          <w:rFonts w:hint="eastAsia" w:ascii="仿宋" w:hAnsi="仿宋" w:eastAsia="仿宋" w:cs="仿宋"/>
          <w:color w:val="auto"/>
          <w:kern w:val="0"/>
          <w:sz w:val="28"/>
          <w:szCs w:val="28"/>
          <w:highlight w:val="none"/>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color w:val="auto"/>
          <w:kern w:val="0"/>
          <w:sz w:val="28"/>
          <w:szCs w:val="28"/>
          <w:highlight w:val="none"/>
        </w:rPr>
        <w:fldChar w:fldCharType="separate"/>
      </w:r>
      <w:r>
        <w:rPr>
          <w:rFonts w:hint="eastAsia" w:ascii="仿宋" w:hAnsi="仿宋" w:eastAsia="仿宋" w:cs="仿宋"/>
          <w:color w:val="auto"/>
          <w:kern w:val="0"/>
          <w:sz w:val="28"/>
          <w:szCs w:val="28"/>
          <w:highlight w:val="none"/>
        </w:rPr>
        <w:t>的项目成果资料、发票</w:t>
      </w:r>
      <w:r>
        <w:rPr>
          <w:rFonts w:hint="eastAsia" w:ascii="仿宋" w:hAnsi="仿宋" w:eastAsia="仿宋" w:cs="仿宋"/>
          <w:color w:val="auto"/>
          <w:kern w:val="0"/>
          <w:sz w:val="28"/>
          <w:szCs w:val="28"/>
          <w:highlight w:val="none"/>
        </w:rPr>
        <w:fldChar w:fldCharType="end"/>
      </w:r>
      <w:r>
        <w:rPr>
          <w:rFonts w:hint="eastAsia" w:ascii="仿宋" w:hAnsi="仿宋" w:eastAsia="仿宋" w:cs="仿宋"/>
          <w:bCs/>
          <w:sz w:val="28"/>
          <w:szCs w:val="28"/>
          <w:highlight w:val="none"/>
          <w:lang w:bidi="ar"/>
        </w:rPr>
        <w:t>以及与本项目有关的其他资料。</w:t>
      </w:r>
    </w:p>
    <w:p w14:paraId="56F2159A">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_GB2312" w:hAnsi="仿宋_GB2312" w:eastAsia="仿宋_GB2312" w:cs="仿宋_GB2312"/>
          <w:b w:val="0"/>
          <w:bCs/>
          <w:sz w:val="28"/>
          <w:szCs w:val="28"/>
          <w:highlight w:val="none"/>
          <w:lang w:eastAsia="zh-CN"/>
        </w:rPr>
        <w:t>整个项目实施完成后</w:t>
      </w:r>
      <w:r>
        <w:rPr>
          <w:rFonts w:hint="eastAsia" w:ascii="仿宋_GB2312" w:hAnsi="仿宋_GB2312" w:eastAsia="仿宋_GB2312" w:cs="仿宋_GB2312"/>
          <w:b w:val="0"/>
          <w:bCs/>
          <w:sz w:val="28"/>
          <w:szCs w:val="28"/>
          <w:highlight w:val="none"/>
        </w:rPr>
        <w:t>，达到付款条件起</w:t>
      </w:r>
      <w:r>
        <w:rPr>
          <w:rFonts w:hint="eastAsia" w:ascii="仿宋_GB2312" w:hAnsi="仿宋_GB2312" w:eastAsia="仿宋_GB2312" w:cs="仿宋_GB2312"/>
          <w:b w:val="0"/>
          <w:bCs/>
          <w:sz w:val="28"/>
          <w:szCs w:val="28"/>
          <w:highlight w:val="none"/>
          <w:lang w:val="en-US" w:eastAsia="zh-CN"/>
        </w:rPr>
        <w:t>30</w:t>
      </w:r>
      <w:r>
        <w:rPr>
          <w:rFonts w:hint="eastAsia" w:ascii="仿宋_GB2312" w:hAnsi="仿宋_GB2312" w:eastAsia="仿宋_GB2312" w:cs="仿宋_GB2312"/>
          <w:b w:val="0"/>
          <w:bCs/>
          <w:sz w:val="28"/>
          <w:szCs w:val="28"/>
          <w:highlight w:val="none"/>
        </w:rPr>
        <w:t>日内，支付合同总金额的</w:t>
      </w:r>
      <w:r>
        <w:rPr>
          <w:rFonts w:hint="eastAsia" w:ascii="仿宋_GB2312" w:hAnsi="仿宋_GB2312" w:eastAsia="仿宋_GB2312" w:cs="仿宋_GB2312"/>
          <w:b w:val="0"/>
          <w:bCs/>
          <w:sz w:val="28"/>
          <w:szCs w:val="28"/>
          <w:highlight w:val="none"/>
          <w:lang w:val="en-US" w:eastAsia="zh-CN"/>
        </w:rPr>
        <w:t>100</w:t>
      </w:r>
      <w:r>
        <w:rPr>
          <w:rFonts w:hint="eastAsia" w:ascii="仿宋_GB2312" w:hAnsi="仿宋_GB2312" w:eastAsia="仿宋_GB2312" w:cs="仿宋_GB2312"/>
          <w:b w:val="0"/>
          <w:bCs/>
          <w:sz w:val="28"/>
          <w:szCs w:val="28"/>
          <w:highlight w:val="none"/>
        </w:rPr>
        <w:t>%。</w:t>
      </w:r>
    </w:p>
    <w:p w14:paraId="45CB6078">
      <w:pPr>
        <w:keepNext w:val="0"/>
        <w:keepLines w:val="0"/>
        <w:pageBreakBefore w:val="0"/>
        <w:widowControl w:val="0"/>
        <w:kinsoku/>
        <w:wordWrap/>
        <w:overflowPunct/>
        <w:topLinePunct w:val="0"/>
        <w:bidi w:val="0"/>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四</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8A248E9">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4B30D08A">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6FDD8F17">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319D2EDD">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bidi="ar"/>
        </w:rPr>
        <w:t>1、乙方不能按期</w:t>
      </w:r>
      <w:r>
        <w:rPr>
          <w:rFonts w:hint="eastAsia" w:ascii="仿宋" w:hAnsi="仿宋" w:eastAsia="仿宋" w:cs="仿宋"/>
          <w:bCs/>
          <w:color w:val="auto"/>
          <w:sz w:val="28"/>
          <w:szCs w:val="28"/>
          <w:highlight w:val="none"/>
          <w:lang w:val="en-US" w:eastAsia="zh-CN" w:bidi="ar"/>
        </w:rPr>
        <w:t>完成</w:t>
      </w:r>
      <w:bookmarkStart w:id="5" w:name="_GoBack"/>
      <w:bookmarkEnd w:id="5"/>
      <w:r>
        <w:rPr>
          <w:rFonts w:hint="eastAsia" w:ascii="仿宋" w:hAnsi="仿宋" w:eastAsia="仿宋" w:cs="仿宋"/>
          <w:bCs/>
          <w:color w:val="auto"/>
          <w:sz w:val="28"/>
          <w:szCs w:val="28"/>
          <w:highlight w:val="none"/>
          <w:lang w:eastAsia="zh-CN" w:bidi="ar"/>
        </w:rPr>
        <w:t>服务</w:t>
      </w:r>
      <w:r>
        <w:rPr>
          <w:rFonts w:hint="eastAsia" w:ascii="仿宋" w:hAnsi="仿宋" w:eastAsia="仿宋" w:cs="仿宋"/>
          <w:bCs/>
          <w:color w:val="auto"/>
          <w:sz w:val="28"/>
          <w:szCs w:val="28"/>
          <w:highlight w:val="none"/>
          <w:lang w:bidi="ar"/>
        </w:rPr>
        <w:t>的，每逾期1日，乙方应向甲方赔付合同总价的0.1%作为违约金。</w:t>
      </w:r>
    </w:p>
    <w:p w14:paraId="2A8C327D">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color w:val="auto"/>
          <w:sz w:val="28"/>
          <w:szCs w:val="28"/>
          <w:highlight w:val="none"/>
          <w:lang w:bidi="ar"/>
        </w:rPr>
        <w:t>2、乙方所交服务不符合国家法律法规和合同规定的，甲方有权拒收，并由乙方承担一切费用。</w:t>
      </w:r>
    </w:p>
    <w:p w14:paraId="261649FB">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2CD8F02C">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BDA41C7">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eastAsia="zh-CN"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  争议</w:t>
      </w:r>
      <w:r>
        <w:rPr>
          <w:rFonts w:hint="eastAsia" w:ascii="仿宋" w:hAnsi="仿宋" w:eastAsia="仿宋" w:cs="仿宋"/>
          <w:b/>
          <w:sz w:val="28"/>
          <w:szCs w:val="28"/>
          <w:highlight w:val="none"/>
          <w:lang w:eastAsia="zh-CN" w:bidi="ar"/>
        </w:rPr>
        <w:t>解决</w:t>
      </w:r>
    </w:p>
    <w:p w14:paraId="38B5EC22">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"http://set2.mail.qq.com/cgi-bin/mail_spam?action=check_link&amp;spam=0&amp;url=http%3A%2F%2Fbaike%2Ebaidu%2Ecom%2Fview%2F322875%2Ehtm"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违约行为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进行及时的协商解决,如不能</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"http://set2.mail.qq.com/cgi-bin/mail_spam?action=check_link&amp;spam=0&amp;url=http%3A%2F%2Fbaike%2Ebaidu%2Ecom%2Fview%2F1872935%2Ehtm"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协商</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解决可向甲方住所地法院起诉。</w:t>
      </w:r>
    </w:p>
    <w:p w14:paraId="3568CBCC">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条  监督和管理</w:t>
      </w:r>
    </w:p>
    <w:p w14:paraId="4C4055D0">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w:t>
      </w:r>
      <w:r>
        <w:rPr>
          <w:rFonts w:hint="eastAsia" w:ascii="仿宋" w:hAnsi="仿宋" w:eastAsia="仿宋" w:cs="仿宋"/>
          <w:bCs/>
          <w:sz w:val="28"/>
          <w:szCs w:val="28"/>
          <w:highlight w:val="none"/>
          <w:lang w:eastAsia="zh-CN" w:bidi="ar"/>
        </w:rPr>
        <w:t>供应商</w:t>
      </w:r>
      <w:r>
        <w:rPr>
          <w:rFonts w:hint="eastAsia" w:ascii="仿宋" w:hAnsi="仿宋" w:eastAsia="仿宋" w:cs="仿宋"/>
          <w:bCs/>
          <w:sz w:val="28"/>
          <w:szCs w:val="28"/>
          <w:highlight w:val="none"/>
          <w:lang w:bidi="ar"/>
        </w:rPr>
        <w:t>协商签订补充合同，但所有补充合同的采购金额不得超过原合同采购金额的百分之十。</w:t>
      </w:r>
    </w:p>
    <w:p w14:paraId="1A9E1E34">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277ED0CB">
      <w:pPr>
        <w:keepNext w:val="0"/>
        <w:keepLines w:val="0"/>
        <w:pageBreakBefore w:val="0"/>
        <w:widowControl w:val="0"/>
        <w:kinsoku/>
        <w:wordWrap/>
        <w:overflowPunct/>
        <w:topLinePunct w:val="0"/>
        <w:autoSpaceDE/>
        <w:autoSpaceDN/>
        <w:bidi w:val="0"/>
        <w:adjustRightInd/>
        <w:snapToGrid/>
        <w:spacing w:line="500" w:lineRule="exact"/>
        <w:ind w:left="0" w:leftChars="0"/>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B9318E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highlight w:val="none"/>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453F0168">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第十条附则</w:t>
      </w:r>
    </w:p>
    <w:p w14:paraId="63B89F70">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eastAsia="zh-CN" w:bidi="ar"/>
        </w:rPr>
        <w:t>竞争性磋商文件</w:t>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响应文件</w:t>
      </w:r>
      <w:r>
        <w:rPr>
          <w:rFonts w:hint="eastAsia" w:ascii="仿宋" w:hAnsi="仿宋" w:eastAsia="仿宋" w:cs="仿宋"/>
          <w:bCs/>
          <w:sz w:val="28"/>
          <w:szCs w:val="28"/>
          <w:highlight w:val="none"/>
          <w:lang w:bidi="ar"/>
        </w:rPr>
        <w:t>及澄清说明文件都是本合同的组成部分，甲、乙双方必须全面遵守，如有违反，应承担违约责任。</w:t>
      </w:r>
    </w:p>
    <w:p w14:paraId="700714E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lang w:eastAsia="zh-CN"/>
        </w:rPr>
        <w:t>2、本合同一式六份,甲乙双方各执两份,政府采购代理机构两份。</w:t>
      </w:r>
    </w:p>
    <w:p w14:paraId="1576C52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71C076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服务方案</w:t>
      </w:r>
      <w:r>
        <w:rPr>
          <w:rFonts w:hint="eastAsia" w:ascii="仿宋" w:hAnsi="仿宋" w:eastAsia="仿宋" w:cs="仿宋"/>
          <w:sz w:val="28"/>
          <w:szCs w:val="28"/>
          <w:highlight w:val="none"/>
        </w:rPr>
        <w:t>）</w:t>
      </w:r>
    </w:p>
    <w:p w14:paraId="13B95C37">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17942140">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9AA434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29F54E3">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288E23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137212C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B50692B">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0BF7EC20">
      <w:pPr>
        <w:pStyle w:val="28"/>
        <w:keepNext w:val="0"/>
        <w:keepLines w:val="0"/>
        <w:pageBreakBefore w:val="0"/>
        <w:kinsoku/>
        <w:wordWrap/>
        <w:overflowPunct/>
        <w:topLinePunct w:val="0"/>
        <w:bidi w:val="0"/>
        <w:spacing w:line="500" w:lineRule="exact"/>
        <w:ind w:firstLine="560" w:firstLineChars="200"/>
        <w:outlineLvl w:val="9"/>
        <w:rPr>
          <w:rFonts w:hint="default"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13632F6B">
      <w:pPr>
        <w:pStyle w:val="28"/>
        <w:keepNext w:val="0"/>
        <w:keepLines w:val="0"/>
        <w:pageBreakBefore w:val="0"/>
        <w:kinsoku/>
        <w:wordWrap/>
        <w:overflowPunct/>
        <w:topLinePunct w:val="0"/>
        <w:bidi w:val="0"/>
        <w:spacing w:line="500" w:lineRule="exact"/>
        <w:ind w:firstLine="560" w:firstLineChars="200"/>
        <w:outlineLvl w:val="9"/>
        <w:rPr>
          <w:rFonts w:hint="default" w:ascii="仿宋" w:hAnsi="仿宋" w:eastAsia="仿宋" w:cs="仿宋"/>
          <w:bCs/>
          <w:sz w:val="28"/>
          <w:szCs w:val="28"/>
          <w:highlight w:val="none"/>
          <w:lang w:bidi="ar"/>
        </w:rPr>
      </w:pPr>
    </w:p>
    <w:p w14:paraId="2889BCDB">
      <w:pPr>
        <w:keepNext w:val="0"/>
        <w:keepLines w:val="0"/>
        <w:pageBreakBefore w:val="0"/>
        <w:widowControl w:val="0"/>
        <w:kinsoku/>
        <w:wordWrap/>
        <w:overflowPunct/>
        <w:topLinePunct w:val="0"/>
        <w:autoSpaceDE/>
        <w:autoSpaceDN/>
        <w:bidi w:val="0"/>
        <w:spacing w:line="500" w:lineRule="exact"/>
        <w:ind w:firstLine="560" w:firstLineChars="200"/>
        <w:jc w:val="left"/>
        <w:outlineLvl w:val="9"/>
        <w:rPr>
          <w:rFonts w:hint="eastAsia" w:ascii="仿宋" w:hAnsi="仿宋" w:eastAsia="仿宋" w:cs="仿宋"/>
          <w:bCs/>
          <w:sz w:val="28"/>
          <w:szCs w:val="28"/>
          <w:highlight w:val="none"/>
          <w:lang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2F0E5A"/>
    <w:rsid w:val="057A1CA9"/>
    <w:rsid w:val="05A426CF"/>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62700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545AAA"/>
    <w:rsid w:val="2FAB2145"/>
    <w:rsid w:val="31C06999"/>
    <w:rsid w:val="31F040D5"/>
    <w:rsid w:val="34344512"/>
    <w:rsid w:val="34AD71BB"/>
    <w:rsid w:val="3635623E"/>
    <w:rsid w:val="36ED5182"/>
    <w:rsid w:val="378A6BE6"/>
    <w:rsid w:val="38511E09"/>
    <w:rsid w:val="38E4419B"/>
    <w:rsid w:val="3AC76A42"/>
    <w:rsid w:val="3C462815"/>
    <w:rsid w:val="3D593965"/>
    <w:rsid w:val="3E3548DA"/>
    <w:rsid w:val="3ECA590D"/>
    <w:rsid w:val="40BA6186"/>
    <w:rsid w:val="415A498A"/>
    <w:rsid w:val="41661B63"/>
    <w:rsid w:val="43EF5D82"/>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C877D4"/>
    <w:rsid w:val="56F96F3B"/>
    <w:rsid w:val="58552A97"/>
    <w:rsid w:val="5A445682"/>
    <w:rsid w:val="5C500C83"/>
    <w:rsid w:val="5C5F2669"/>
    <w:rsid w:val="5D430091"/>
    <w:rsid w:val="5E187160"/>
    <w:rsid w:val="5E927905"/>
    <w:rsid w:val="62AB062D"/>
    <w:rsid w:val="63C435F8"/>
    <w:rsid w:val="64A7494A"/>
    <w:rsid w:val="64EF4E96"/>
    <w:rsid w:val="66405B1C"/>
    <w:rsid w:val="689D625E"/>
    <w:rsid w:val="691769FD"/>
    <w:rsid w:val="69E95AFF"/>
    <w:rsid w:val="6A0172DF"/>
    <w:rsid w:val="6A88420E"/>
    <w:rsid w:val="6CF46CEB"/>
    <w:rsid w:val="6EDC4BCA"/>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qFormat="1"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22"/>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9">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annotation text"/>
    <w:basedOn w:val="1"/>
    <w:unhideWhenUsed/>
    <w:qFormat/>
    <w:uiPriority w:val="0"/>
    <w:pPr>
      <w:keepNext w:val="0"/>
      <w:keepLines w:val="0"/>
      <w:widowControl w:val="0"/>
      <w:suppressLineNumbers w:val="0"/>
      <w:spacing w:before="0" w:beforeAutospacing="0" w:after="0" w:afterAutospacing="0"/>
      <w:ind w:left="0" w:right="0"/>
      <w:jc w:val="left"/>
    </w:pPr>
    <w:rPr>
      <w:rFonts w:hint="eastAsia" w:ascii="宋体" w:hAnsi="宋体" w:cs="宋体"/>
      <w:szCs w:val="21"/>
    </w:rPr>
  </w:style>
  <w:style w:type="paragraph" w:styleId="7">
    <w:name w:val="Body Text"/>
    <w:basedOn w:val="1"/>
    <w:next w:val="1"/>
    <w:link w:val="23"/>
    <w:qFormat/>
    <w:uiPriority w:val="0"/>
    <w:rPr>
      <w:rFonts w:asciiTheme="minorAscii" w:hAnsiTheme="minorAscii" w:eastAsiaTheme="minorEastAsia" w:cstheme="minorBidi"/>
      <w:sz w:val="28"/>
      <w:szCs w:val="22"/>
    </w:rPr>
  </w:style>
  <w:style w:type="paragraph" w:styleId="8">
    <w:name w:val="Body Text Indent"/>
    <w:basedOn w:val="1"/>
    <w:next w:val="9"/>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9">
    <w:name w:val="annotation subject"/>
    <w:basedOn w:val="6"/>
    <w:next w:val="1"/>
    <w:unhideWhenUsed/>
    <w:qFormat/>
    <w:uiPriority w:val="0"/>
    <w:rPr>
      <w:b/>
    </w:rPr>
  </w:style>
  <w:style w:type="paragraph" w:styleId="10">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1">
    <w:name w:val="toc 9"/>
    <w:basedOn w:val="1"/>
    <w:next w:val="1"/>
    <w:unhideWhenUsed/>
    <w:qFormat/>
    <w:uiPriority w:val="39"/>
    <w:pPr>
      <w:ind w:left="3360" w:leftChars="1600"/>
    </w:pPr>
  </w:style>
  <w:style w:type="paragraph" w:styleId="12">
    <w:name w:val="Body Text 2"/>
    <w:basedOn w:val="1"/>
    <w:qFormat/>
    <w:uiPriority w:val="0"/>
    <w:pPr>
      <w:adjustRightInd w:val="0"/>
      <w:snapToGrid w:val="0"/>
      <w:spacing w:line="480" w:lineRule="atLeast"/>
    </w:pPr>
    <w:rPr>
      <w:rFonts w:ascii="宋体" w:hAnsi="宋体"/>
      <w:sz w:val="28"/>
    </w:rPr>
  </w:style>
  <w:style w:type="paragraph" w:styleId="13">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4">
    <w:name w:val="Title"/>
    <w:basedOn w:val="1"/>
    <w:next w:val="15"/>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15">
    <w:name w:val="Body Text Indent1"/>
    <w:basedOn w:val="1"/>
    <w:next w:val="1"/>
    <w:qFormat/>
    <w:uiPriority w:val="0"/>
    <w:pPr>
      <w:ind w:firstLine="420" w:firstLineChars="140"/>
    </w:pPr>
    <w:rPr>
      <w:szCs w:val="21"/>
    </w:rPr>
  </w:style>
  <w:style w:type="paragraph" w:styleId="16">
    <w:name w:val="Body Text First Indent"/>
    <w:basedOn w:val="7"/>
    <w:next w:val="17"/>
    <w:qFormat/>
    <w:uiPriority w:val="0"/>
    <w:pPr>
      <w:ind w:firstLine="420" w:firstLineChars="100"/>
    </w:pPr>
    <w:rPr>
      <w:rFonts w:ascii="Times New Roman" w:hAnsi="Times New Roman"/>
      <w:color w:val="auto"/>
      <w:sz w:val="18"/>
      <w:szCs w:val="18"/>
    </w:rPr>
  </w:style>
  <w:style w:type="paragraph" w:styleId="17">
    <w:name w:val="Body Text First Indent 2"/>
    <w:basedOn w:val="8"/>
    <w:next w:val="1"/>
    <w:qFormat/>
    <w:uiPriority w:val="0"/>
    <w:pPr>
      <w:ind w:leftChars="0" w:firstLine="420"/>
    </w:pPr>
    <w:rPr>
      <w:szCs w:val="24"/>
    </w:rPr>
  </w:style>
  <w:style w:type="character" w:styleId="20">
    <w:name w:val="Hyperlink"/>
    <w:basedOn w:val="19"/>
    <w:unhideWhenUsed/>
    <w:qFormat/>
    <w:uiPriority w:val="99"/>
    <w:rPr>
      <w:rFonts w:hint="eastAsia" w:ascii="宋体" w:hAnsi="宋体" w:eastAsia="宋体" w:cs="宋体"/>
      <w:color w:val="000000"/>
      <w:sz w:val="14"/>
      <w:szCs w:val="14"/>
      <w:u w:val="none"/>
    </w:rPr>
  </w:style>
  <w:style w:type="paragraph" w:customStyle="1" w:styleId="21">
    <w:name w:val="样式9"/>
    <w:basedOn w:val="1"/>
    <w:next w:val="1"/>
    <w:qFormat/>
    <w:uiPriority w:val="0"/>
    <w:rPr>
      <w:rFonts w:ascii="Calibri" w:hAnsi="Calibri"/>
    </w:rPr>
  </w:style>
  <w:style w:type="character" w:customStyle="1" w:styleId="22">
    <w:name w:val="标题 4 Char"/>
    <w:link w:val="4"/>
    <w:qFormat/>
    <w:uiPriority w:val="0"/>
    <w:rPr>
      <w:rFonts w:ascii="Arial" w:hAnsi="Arial" w:eastAsia="黑体" w:cs="Arial"/>
      <w:b/>
      <w:sz w:val="28"/>
      <w:szCs w:val="28"/>
      <w:lang w:bidi="ar-SA"/>
    </w:rPr>
  </w:style>
  <w:style w:type="character" w:customStyle="1" w:styleId="23">
    <w:name w:val="正文文本 Char"/>
    <w:link w:val="7"/>
    <w:qFormat/>
    <w:uiPriority w:val="0"/>
    <w:rPr>
      <w:rFonts w:hint="eastAsia" w:ascii="宋体" w:hAnsi="宋体" w:eastAsia="仿宋" w:cs="宋体"/>
      <w:sz w:val="24"/>
      <w:szCs w:val="21"/>
      <w:lang w:bidi="ar-SA"/>
    </w:rPr>
  </w:style>
  <w:style w:type="paragraph" w:customStyle="1" w:styleId="24">
    <w:name w:val="样式10"/>
    <w:basedOn w:val="1"/>
    <w:next w:val="1"/>
    <w:qFormat/>
    <w:uiPriority w:val="0"/>
    <w:rPr>
      <w:rFonts w:ascii="Times New Roman" w:hAnsi="Times New Roman"/>
    </w:rPr>
  </w:style>
  <w:style w:type="paragraph" w:customStyle="1" w:styleId="25">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6">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7">
    <w:name w:val="正文缩进1"/>
    <w:basedOn w:val="1"/>
    <w:qFormat/>
    <w:uiPriority w:val="0"/>
    <w:pPr>
      <w:ind w:firstLine="420" w:firstLineChars="200"/>
    </w:pPr>
  </w:style>
  <w:style w:type="paragraph" w:customStyle="1" w:styleId="28">
    <w:name w:val="null3"/>
    <w:hidden/>
    <w:qFormat/>
    <w:uiPriority w:val="0"/>
    <w:rPr>
      <w:rFonts w:hint="eastAsia" w:asciiTheme="minorHAnsi" w:hAnsiTheme="minorHAnsi" w:eastAsiaTheme="minorEastAsia" w:cstheme="minorBidi"/>
      <w:lang w:val="en-US" w:eastAsia="zh-Hans"/>
    </w:rPr>
  </w:style>
  <w:style w:type="paragraph" w:customStyle="1" w:styleId="29">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1314</Words>
  <Characters>1325</Characters>
  <Lines>0</Lines>
  <Paragraphs>0</Paragraphs>
  <TotalTime>0</TotalTime>
  <ScaleCrop>false</ScaleCrop>
  <LinksUpToDate>false</LinksUpToDate>
  <CharactersWithSpaces>1513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嗯，就这</cp:lastModifiedBy>
  <dcterms:modified xsi:type="dcterms:W3CDTF">2025-12-09T07:52:31Z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50E5246A23FC46A997CD4DEEBAABA8CC_13</vt:lpwstr>
  </property>
  <property fmtid="{D5CDD505-2E9C-101B-9397-08002B2CF9AE}" pid="4" name="KSOTemplateDocerSaveRecord">
    <vt:lpwstr>eyJoZGlkIjoiNTZhMTU2OGIzOWUwOTQ4ODliOTkzOWVmNGUwODJmZTQiLCJ1c2VySWQiOiI1MjE2NTc3MzAifQ==</vt:lpwstr>
  </property>
</Properties>
</file>