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版本号：ZCSP-渭南市-2025-00884（LR2025-ZC1102）20251209001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渭南市城市形象宣传服务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ZCSP-渭南市-2025-00884（LR2025-ZC1102）</w:t>
      </w:r>
      <w:r>
        <w:br/>
      </w:r>
      <w:r>
        <w:br/>
      </w:r>
      <w:r>
        <w:br/>
      </w:r>
    </w:p>
    <w:p>
      <w:pPr>
        <w:pStyle w:val="null3"/>
        <w:jc w:val="center"/>
        <w:outlineLvl w:val="5"/>
      </w:pPr>
      <w:r>
        <w:rPr>
          <w:rFonts w:ascii="仿宋_GB2312" w:hAnsi="仿宋_GB2312" w:cs="仿宋_GB2312" w:eastAsia="仿宋_GB2312"/>
          <w:sz w:val="15"/>
          <w:b/>
        </w:rPr>
        <w:t>中共渭南市委宣传部</w:t>
      </w:r>
    </w:p>
    <w:p>
      <w:pPr>
        <w:pStyle w:val="null3"/>
        <w:jc w:val="center"/>
        <w:outlineLvl w:val="5"/>
      </w:pPr>
      <w:r>
        <w:rPr>
          <w:rFonts w:ascii="仿宋_GB2312" w:hAnsi="仿宋_GB2312" w:cs="仿宋_GB2312" w:eastAsia="仿宋_GB2312"/>
          <w:sz w:val="15"/>
          <w:b/>
        </w:rPr>
        <w:t>陕西里仁项目管理有限公司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陕西里仁项目管理有限公司</w:t>
      </w:r>
      <w:r>
        <w:rPr>
          <w:rFonts w:ascii="仿宋_GB2312" w:hAnsi="仿宋_GB2312" w:cs="仿宋_GB2312" w:eastAsia="仿宋_GB2312"/>
        </w:rPr>
        <w:t>（以下简称“代理机构”）受</w:t>
      </w:r>
      <w:r>
        <w:rPr>
          <w:rFonts w:ascii="仿宋_GB2312" w:hAnsi="仿宋_GB2312" w:cs="仿宋_GB2312" w:eastAsia="仿宋_GB2312"/>
        </w:rPr>
        <w:t>中共渭南市委宣传部</w:t>
      </w:r>
      <w:r>
        <w:rPr>
          <w:rFonts w:ascii="仿宋_GB2312" w:hAnsi="仿宋_GB2312" w:cs="仿宋_GB2312" w:eastAsia="仿宋_GB2312"/>
        </w:rPr>
        <w:t>委托，拟对</w:t>
      </w:r>
      <w:r>
        <w:rPr>
          <w:rFonts w:ascii="仿宋_GB2312" w:hAnsi="仿宋_GB2312" w:cs="仿宋_GB2312" w:eastAsia="仿宋_GB2312"/>
        </w:rPr>
        <w:t>渭南市城市形象宣传服务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ZCSP-渭南市-2025-00884（LR2025-ZC1102）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渭南市城市形象宣传服务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聚焦渭南创文，对渭南市城市形象进行策划宣传，充分展示城市形象，在《人民日报》城市形象版整版、彩色刊登，并在人民日报客户端地方频道信息流静态长通栏推广，具体内容详见采购文件第三章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有效的证照：具有独立承担民事责任能力的法人或其分公司、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经会计师事务所审计的完整的2024年度审计报告（审计报告至少包含三表一注），或提交2025年6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1月1日以来至少一个月的依法缴纳税收的相关凭据（时间以税款所属日期为准、税种须包含增值税或企业所得税），凭据应有税务机关或代收机关的公章或业务专用章；其他组织和自然人提供2025年1月1日以来至少一个月缴纳税收的相关凭据；供应商需在项目电子化交易系统中按要求上传相应证明文件并进行电子签章。</w:t>
      </w:r>
    </w:p>
    <w:p>
      <w:pPr>
        <w:pStyle w:val="null3"/>
      </w:pPr>
      <w:r>
        <w:rPr>
          <w:rFonts w:ascii="仿宋_GB2312" w:hAnsi="仿宋_GB2312" w:cs="仿宋_GB2312" w:eastAsia="仿宋_GB2312"/>
        </w:rPr>
        <w:t>4、社会保障资金缴存证明：提供2025年1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pPr>
        <w:pStyle w:val="null3"/>
      </w:pPr>
      <w:r>
        <w:rPr>
          <w:rFonts w:ascii="仿宋_GB2312" w:hAnsi="仿宋_GB2312" w:cs="仿宋_GB2312" w:eastAsia="仿宋_GB2312"/>
        </w:rPr>
        <w:t>6、承诺函：提供具有履行合同所必需的设备和专业技术能力的承诺函；供应商需在项目电子化交易系统中按要求上传相应证明文件并进行电子签章。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协商授权委托：法定代表人或分公司负责人参加协商的，应出具法定代表人或分公司负责人证明书及法定代表人或分公司负责人身份证明，且应与营业执照上信息一致；法定代表人或分公司负责人授权他人参加协商的，应出具法定代表人或分公司负责人证明书、法定代表人或分公司负责人授权书及被授权人身份证明；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中共渭南市委宣传部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渭南市临渭区朝阳大街21号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张倍宁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0913-2126234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陕西里仁项目管理有限公司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西安市雁塔区高新路31号凯创国际2幢1002室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029-68926580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开户名称：陕西里仁项目管理有限公司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银行账号：129909983110902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代理服务费收费标准：1、参考国家计委颁布的《招标代理服务收费管理暂行办法》(计价格[2002]1980 号)和(发改办价格[2003]857 号)收费标准（含税），以成交公告公布的金额为准。 2、支付方式：成交供应商应在领取通知书的同时，支付本项目代理服务费。收款账户如下：收款单位：陕西里仁项目管理有限公司 开户银行：招商银行股份有限公司西安城南支行 银行账号：129909983110902 3、转账时备注：代理服务费。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中共渭南市委宣传部</w:t>
      </w:r>
      <w:r>
        <w:rPr>
          <w:rFonts w:ascii="仿宋_GB2312" w:hAnsi="仿宋_GB2312" w:cs="仿宋_GB2312" w:eastAsia="仿宋_GB2312"/>
        </w:rPr>
        <w:t>和</w:t>
      </w:r>
      <w:r>
        <w:rPr>
          <w:rFonts w:ascii="仿宋_GB2312" w:hAnsi="仿宋_GB2312" w:cs="仿宋_GB2312" w:eastAsia="仿宋_GB2312"/>
        </w:rPr>
        <w:t>陕西里仁项目管理有限公司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陕西里仁项目管理有限公司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中共渭南市委宣传部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陕西里仁项目管理有限公司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聚焦渭南创文，对渭南市城市形象进行策划宣传，充分展示城市形象，在《人民日报》城市形象版整版、彩色刊登，并在人民日报客户端地方频道信息流静态长通栏推广，具体内容详见采购文件第三章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渭南市城市形象宣传服务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标的名称：渭南市城市形象宣传服务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一、采购需求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、项目概况：</w:t>
            </w:r>
          </w:p>
          <w:p>
            <w:pPr>
              <w:pStyle w:val="null3"/>
              <w:ind w:firstLine="400"/>
              <w:jc w:val="both"/>
            </w:pPr>
            <w:r>
              <w:rPr>
                <w:rFonts w:ascii="仿宋_GB2312" w:hAnsi="仿宋_GB2312" w:cs="仿宋_GB2312" w:eastAsia="仿宋_GB2312"/>
                <w:sz w:val="20"/>
              </w:rPr>
              <w:t>聚焦渭南创文，对渭南市城市形象进行策划宣传，充分展示城市形象，在《人民日报》城市形象版整版、彩色刊登，并在人民日报客户端地方频道信息流静态长通栏推广。</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、服务地点：中共渭南市委宣传部项目地点</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、服务内容：</w:t>
            </w:r>
          </w:p>
          <w:p>
            <w:pPr>
              <w:pStyle w:val="null3"/>
              <w:ind w:firstLine="400"/>
              <w:jc w:val="both"/>
            </w:pPr>
            <w:r>
              <w:rPr>
                <w:rFonts w:ascii="仿宋_GB2312" w:hAnsi="仿宋_GB2312" w:cs="仿宋_GB2312" w:eastAsia="仿宋_GB2312"/>
                <w:sz w:val="20"/>
              </w:rPr>
              <w:t>聚焦渭南荣获“全国文明城市”，2025年5月23日，渭南市被授予“全国文明城市”称号，这份沉甸甸的荣誉，既是渭南十年创文的圆满句点，更是践行“人民城市人民建、人民城市为人民”理念，向“品质之城”跨越的新起点。人民日报以1个整版进行报道。</w:t>
            </w:r>
          </w:p>
          <w:p>
            <w:pPr>
              <w:pStyle w:val="null3"/>
              <w:ind w:firstLine="400"/>
              <w:jc w:val="both"/>
            </w:pPr>
            <w:r>
              <w:rPr>
                <w:rFonts w:ascii="仿宋_GB2312" w:hAnsi="仿宋_GB2312" w:cs="仿宋_GB2312" w:eastAsia="仿宋_GB2312"/>
                <w:sz w:val="20"/>
              </w:rPr>
              <w:t>3.1</w:t>
            </w:r>
            <w:r>
              <w:rPr>
                <w:rFonts w:ascii="仿宋_GB2312" w:hAnsi="仿宋_GB2312" w:cs="仿宋_GB2312" w:eastAsia="仿宋_GB2312"/>
                <w:sz w:val="20"/>
              </w:rPr>
              <w:t>、传播平台：</w:t>
            </w:r>
          </w:p>
          <w:p>
            <w:pPr>
              <w:pStyle w:val="null3"/>
              <w:jc w:val="both"/>
            </w:pPr>
            <w:r>
              <w:rPr>
                <w:rFonts w:ascii="仿宋_GB2312" w:hAnsi="仿宋_GB2312" w:cs="仿宋_GB2312" w:eastAsia="仿宋_GB2312"/>
                <w:sz w:val="20"/>
              </w:rPr>
              <w:t>人民日报、人民日报客户端、人民日报文创客户端；</w:t>
            </w:r>
          </w:p>
          <w:p>
            <w:pPr>
              <w:pStyle w:val="null3"/>
              <w:ind w:firstLine="400"/>
              <w:jc w:val="both"/>
            </w:pPr>
            <w:r>
              <w:rPr>
                <w:rFonts w:ascii="仿宋_GB2312" w:hAnsi="仿宋_GB2312" w:cs="仿宋_GB2312" w:eastAsia="仿宋_GB2312"/>
                <w:sz w:val="20"/>
              </w:rPr>
              <w:t>3.2</w:t>
            </w:r>
            <w:r>
              <w:rPr>
                <w:rFonts w:ascii="仿宋_GB2312" w:hAnsi="仿宋_GB2312" w:cs="仿宋_GB2312" w:eastAsia="仿宋_GB2312"/>
                <w:sz w:val="20"/>
              </w:rPr>
              <w:t>、主题：聚焦渭南创文</w:t>
            </w:r>
          </w:p>
          <w:p>
            <w:pPr>
              <w:pStyle w:val="null3"/>
              <w:ind w:firstLine="400"/>
              <w:jc w:val="both"/>
            </w:pPr>
            <w:r>
              <w:rPr>
                <w:rFonts w:ascii="仿宋_GB2312" w:hAnsi="仿宋_GB2312" w:cs="仿宋_GB2312" w:eastAsia="仿宋_GB2312"/>
                <w:sz w:val="20"/>
              </w:rPr>
              <w:t>自2015年启动全国文明城市创建工作以来，渭南市始终坚持“创建为民、创建惠民、创建靠民”的理念。渭南市今年成功创建“全国文明城市”，这确实是十年持续不断努力的结果，是全体渭南人民共同努力、不懈奋斗的结晶。整版宣传紧密围绕上述理念，突出成果展示。</w:t>
            </w:r>
          </w:p>
          <w:p>
            <w:pPr>
              <w:pStyle w:val="null3"/>
              <w:ind w:firstLine="400"/>
              <w:jc w:val="both"/>
            </w:pPr>
            <w:r>
              <w:rPr>
                <w:rFonts w:ascii="仿宋_GB2312" w:hAnsi="仿宋_GB2312" w:cs="仿宋_GB2312" w:eastAsia="仿宋_GB2312"/>
                <w:sz w:val="20"/>
              </w:rPr>
              <w:t>3.3</w:t>
            </w:r>
            <w:r>
              <w:rPr>
                <w:rFonts w:ascii="仿宋_GB2312" w:hAnsi="仿宋_GB2312" w:cs="仿宋_GB2312" w:eastAsia="仿宋_GB2312"/>
                <w:sz w:val="20"/>
              </w:rPr>
              <w:t>、内容设置</w:t>
            </w:r>
          </w:p>
          <w:p>
            <w:pPr>
              <w:pStyle w:val="null3"/>
              <w:ind w:firstLine="400"/>
              <w:jc w:val="both"/>
            </w:pPr>
            <w:r>
              <w:rPr>
                <w:rFonts w:ascii="仿宋_GB2312" w:hAnsi="仿宋_GB2312" w:cs="仿宋_GB2312" w:eastAsia="仿宋_GB2312"/>
                <w:sz w:val="20"/>
              </w:rPr>
              <w:t>宣传版面（1个整版）体现的核心主题内容：</w:t>
            </w:r>
          </w:p>
          <w:p>
            <w:pPr>
              <w:pStyle w:val="null3"/>
              <w:ind w:firstLine="400"/>
              <w:jc w:val="both"/>
            </w:pPr>
            <w:r>
              <w:rPr>
                <w:rFonts w:ascii="仿宋_GB2312" w:hAnsi="仿宋_GB2312" w:cs="仿宋_GB2312" w:eastAsia="仿宋_GB2312"/>
                <w:sz w:val="20"/>
              </w:rPr>
              <w:t>3.3.1</w:t>
            </w:r>
            <w:r>
              <w:rPr>
                <w:rFonts w:ascii="仿宋_GB2312" w:hAnsi="仿宋_GB2312" w:cs="仿宋_GB2312" w:eastAsia="仿宋_GB2312"/>
                <w:sz w:val="20"/>
              </w:rPr>
              <w:t>、一座城市的“品质之变”：从市容环境的改善、基础设施的完善，到公共服务的优化，这十年是渭南城市面貌发生蝶变的十年。</w:t>
            </w:r>
          </w:p>
          <w:p>
            <w:pPr>
              <w:pStyle w:val="null3"/>
              <w:ind w:firstLine="400"/>
              <w:jc w:val="both"/>
            </w:pPr>
            <w:r>
              <w:rPr>
                <w:rFonts w:ascii="仿宋_GB2312" w:hAnsi="仿宋_GB2312" w:cs="仿宋_GB2312" w:eastAsia="仿宋_GB2312"/>
                <w:sz w:val="20"/>
              </w:rPr>
              <w:t>3.3.2</w:t>
            </w:r>
            <w:r>
              <w:rPr>
                <w:rFonts w:ascii="仿宋_GB2312" w:hAnsi="仿宋_GB2312" w:cs="仿宋_GB2312" w:eastAsia="仿宋_GB2312"/>
                <w:sz w:val="20"/>
              </w:rPr>
              <w:t>、一座城市的“气质之变”：文明创建，归根结底是人的文明。这十年，是渭南市民文明素养持续提升的十年。</w:t>
            </w:r>
          </w:p>
          <w:p>
            <w:pPr>
              <w:pStyle w:val="null3"/>
              <w:ind w:firstLine="400"/>
              <w:jc w:val="both"/>
            </w:pPr>
            <w:r>
              <w:rPr>
                <w:rFonts w:ascii="仿宋_GB2312" w:hAnsi="仿宋_GB2312" w:cs="仿宋_GB2312" w:eastAsia="仿宋_GB2312"/>
                <w:sz w:val="20"/>
              </w:rPr>
              <w:t>3.3.3</w:t>
            </w:r>
            <w:r>
              <w:rPr>
                <w:rFonts w:ascii="仿宋_GB2312" w:hAnsi="仿宋_GB2312" w:cs="仿宋_GB2312" w:eastAsia="仿宋_GB2312"/>
                <w:sz w:val="20"/>
              </w:rPr>
              <w:t>、一座城市的“治理之变”：成功的背后，是城市治理体系和治理能力现代化的集中体现。它考验的是党委政府的领导力、各部门的协同力以及基层的执行力。</w:t>
            </w:r>
          </w:p>
          <w:p>
            <w:pPr>
              <w:pStyle w:val="null3"/>
              <w:ind w:firstLine="400"/>
              <w:jc w:val="both"/>
            </w:pPr>
            <w:r>
              <w:rPr>
                <w:rFonts w:ascii="仿宋_GB2312" w:hAnsi="仿宋_GB2312" w:cs="仿宋_GB2312" w:eastAsia="仿宋_GB2312"/>
                <w:sz w:val="20"/>
              </w:rPr>
              <w:t>3.4</w:t>
            </w:r>
            <w:r>
              <w:rPr>
                <w:rFonts w:ascii="仿宋_GB2312" w:hAnsi="仿宋_GB2312" w:cs="仿宋_GB2312" w:eastAsia="仿宋_GB2312"/>
                <w:sz w:val="20"/>
              </w:rPr>
              <w:t>、进度安排：</w:t>
            </w:r>
          </w:p>
          <w:p>
            <w:pPr>
              <w:pStyle w:val="null3"/>
              <w:ind w:firstLine="400"/>
              <w:jc w:val="both"/>
            </w:pPr>
            <w:r>
              <w:rPr>
                <w:rFonts w:ascii="仿宋_GB2312" w:hAnsi="仿宋_GB2312" w:cs="仿宋_GB2312" w:eastAsia="仿宋_GB2312"/>
                <w:sz w:val="20"/>
              </w:rPr>
              <w:t>3.4.1</w:t>
            </w:r>
            <w:r>
              <w:rPr>
                <w:rFonts w:ascii="仿宋_GB2312" w:hAnsi="仿宋_GB2312" w:cs="仿宋_GB2312" w:eastAsia="仿宋_GB2312"/>
                <w:sz w:val="20"/>
              </w:rPr>
              <w:t>、第一阶段：刊前采访组稿</w:t>
            </w:r>
          </w:p>
          <w:p>
            <w:pPr>
              <w:pStyle w:val="null3"/>
              <w:ind w:firstLine="400"/>
              <w:jc w:val="both"/>
            </w:pPr>
            <w:r>
              <w:rPr>
                <w:rFonts w:ascii="仿宋_GB2312" w:hAnsi="仿宋_GB2312" w:cs="仿宋_GB2312" w:eastAsia="仿宋_GB2312"/>
                <w:sz w:val="20"/>
              </w:rPr>
              <w:t>刊前对渭南创文有关事宜进行采访调研；挖掘10年创文的主题相关素材，并与市委宣传部做好充分的内容沟通</w:t>
            </w:r>
          </w:p>
          <w:p>
            <w:pPr>
              <w:pStyle w:val="null3"/>
              <w:ind w:firstLine="400"/>
              <w:jc w:val="both"/>
            </w:pPr>
            <w:r>
              <w:rPr>
                <w:rFonts w:ascii="仿宋_GB2312" w:hAnsi="仿宋_GB2312" w:cs="仿宋_GB2312" w:eastAsia="仿宋_GB2312"/>
                <w:sz w:val="20"/>
              </w:rPr>
              <w:t>3.4.2</w:t>
            </w:r>
            <w:r>
              <w:rPr>
                <w:rFonts w:ascii="仿宋_GB2312" w:hAnsi="仿宋_GB2312" w:cs="仿宋_GB2312" w:eastAsia="仿宋_GB2312"/>
                <w:sz w:val="20"/>
              </w:rPr>
              <w:t>、第二阶段：刊发与刊后反馈</w:t>
            </w:r>
          </w:p>
          <w:p>
            <w:pPr>
              <w:pStyle w:val="null3"/>
              <w:ind w:firstLine="400"/>
              <w:jc w:val="both"/>
            </w:pPr>
            <w:r>
              <w:rPr>
                <w:rFonts w:ascii="仿宋_GB2312" w:hAnsi="仿宋_GB2312" w:cs="仿宋_GB2312" w:eastAsia="仿宋_GB2312"/>
                <w:sz w:val="20"/>
              </w:rPr>
              <w:t>在前期调研基础上确定刊发时间，因涉及整版宣传，及时反馈北京总社安排版面，做好后期编辑确认版面工作。刊发后，及时关注各方反响，及时交流总结整版报道效果。</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、服务范围：采购文件要求、合同约定及采购人提供的采购需求等全部内容。</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、服务标准：符合国家标准、行业标准以及有关技术规范要求。</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、服务要求：保证服务内容、服务质量完全符合采购文件的要求。</w:t>
            </w:r>
          </w:p>
          <w:p>
            <w:pPr>
              <w:pStyle w:val="null3"/>
              <w:spacing w:after="120"/>
              <w:jc w:val="both"/>
            </w:pPr>
            <w:r>
              <w:rPr>
                <w:rFonts w:ascii="仿宋_GB2312" w:hAnsi="仿宋_GB2312" w:cs="仿宋_GB2312" w:eastAsia="仿宋_GB2312"/>
                <w:sz w:val="20"/>
              </w:rPr>
              <w:t>二、服务期：2025年12月31日前完成</w:t>
            </w:r>
          </w:p>
          <w:p>
            <w:pPr>
              <w:pStyle w:val="null3"/>
              <w:spacing w:after="120"/>
              <w:jc w:val="both"/>
            </w:pPr>
            <w:r>
              <w:rPr>
                <w:rFonts w:ascii="仿宋_GB2312" w:hAnsi="仿宋_GB2312" w:cs="仿宋_GB2312" w:eastAsia="仿宋_GB2312"/>
                <w:sz w:val="20"/>
              </w:rPr>
              <w:t>三、付款方式：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、付款单位：采购人结算，在付款前，按付款金额开具发票给采购人。</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、付款方式：合同签订后30日内，支付合同总金额的100%。</w:t>
            </w:r>
          </w:p>
          <w:p>
            <w:pPr>
              <w:pStyle w:val="null3"/>
              <w:jc w:val="both"/>
            </w:pPr>
            <w:r>
              <w:rPr>
                <w:rFonts w:ascii="仿宋_GB2312" w:hAnsi="仿宋_GB2312" w:cs="仿宋_GB2312" w:eastAsia="仿宋_GB2312"/>
                <w:sz w:val="20"/>
              </w:rPr>
              <w:t>四、质量保证：成交供应商应当保证服务内容质量完全符合采购文件的要求，并对服务内容质量问题负责。</w:t>
            </w:r>
          </w:p>
          <w:p>
            <w:pPr>
              <w:pStyle w:val="null3"/>
              <w:jc w:val="both"/>
            </w:pPr>
            <w:r>
              <w:rPr>
                <w:rFonts w:ascii="仿宋_GB2312" w:hAnsi="仿宋_GB2312" w:cs="仿宋_GB2312" w:eastAsia="仿宋_GB2312"/>
                <w:sz w:val="20"/>
              </w:rPr>
              <w:t>五、采购项目执行内容需要调整时，经采购人同意后，可以对相应的内容进行调整，并协商确定价格差额计算方法和负担办法。</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0"/>
              </w:rPr>
              <w:t>验收：达到使用条件时由采购人负责组织验收，验收合格后须交接项目实施的全部资料，并填写政府采购项目验收报告单。验收须以合同、采购文件及响应文件、澄清及国家相应的标准、规范等为依据。</w:t>
            </w:r>
          </w:p>
          <w:p>
            <w:pPr>
              <w:pStyle w:val="null3"/>
            </w:pPr>
            <w:r>
              <w:rPr>
                <w:rFonts w:ascii="仿宋_GB2312" w:hAnsi="仿宋_GB2312" w:cs="仿宋_GB2312" w:eastAsia="仿宋_GB2312"/>
                <w:sz w:val="21"/>
              </w:rPr>
              <w:t>七、合同争议的解决：合同执行中发生争议的，当事人双方应协商解决，协商达不成一致时，可向人民法院提请诉讼。</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中共渭南市委宣传部项目地点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达到使用条件时由采购人负责组织验收，验收合格后须交接项目实施的全部资料，并填写政府采购项目验收报告单。验收须以合同、采购文件及响应文件、澄清及国家相应的标准、规范等为依据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 2、成交供应商在领取成交通知书时须向代理机构提供纸质版响应文件正本1份、副本3份、电子版文件1 份（U 盘）。 3、纸质响应文件采用双面打印并胶装成册，须与电子响应文件一致；若电子响应文件与纸质响应文件不一致的，以电子响应文件为准。4、线下纸质文件递交地点：西安市雁塔区高新路31号凯创国际2幢10楼1002室。5、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6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营业执照等有效的证照</w:t>
            </w:r>
          </w:p>
        </w:tc>
        <w:tc>
          <w:tcPr>
            <w:tcW w:type="dxa" w:w="3322"/>
          </w:tcPr>
          <w:p>
            <w:pPr>
              <w:pStyle w:val="null3"/>
            </w:pPr>
            <w:r>
              <w:rPr>
                <w:rFonts w:ascii="仿宋_GB2312" w:hAnsi="仿宋_GB2312" w:cs="仿宋_GB2312" w:eastAsia="仿宋_GB2312"/>
              </w:rPr>
              <w:t>具有独立承担民事责任能力的法人或其分公司、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6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至少一个月的依法缴纳税收的相关凭据（时间以税款所属日期为准、税种须包含增值税或企业所得税），凭据应有税务机关或代收机关的公章或业务专用章；其他组织和自然人提供2025年1月1日以来至少一个月缴纳税收的相关凭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2025年1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协商授权委托</w:t>
            </w:r>
          </w:p>
        </w:tc>
        <w:tc>
          <w:tcPr>
            <w:tcW w:type="dxa" w:w="3322"/>
          </w:tcPr>
          <w:p>
            <w:pPr>
              <w:pStyle w:val="null3"/>
            </w:pPr>
            <w:r>
              <w:rPr>
                <w:rFonts w:ascii="仿宋_GB2312" w:hAnsi="仿宋_GB2312" w:cs="仿宋_GB2312" w:eastAsia="仿宋_GB2312"/>
              </w:rPr>
              <w:t>法定代表人或分公司负责人参加协商的，应出具法定代表人或分公司负责人证明书及法定代表人或分公司负责人身份证明，且应与营业执照上信息一致；法定代表人或分公司负责人授权他人参加协商的，应出具法定代表人或分公司负责人证明书、法定代表人或分公司负责人授权书及被授权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 标的清单 报价表 响应方案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协商过程中，协商小组认为供应商响应报价有可能影响项目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 标的清单 报价表 响应方案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分项报价表 标的清单 报价表 响应方案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响应文件按采购文件要求的语言、计量单位、报价货币；按采购文件要求签署、盖章。</w:t>
            </w:r>
          </w:p>
        </w:tc>
        <w:tc>
          <w:tcPr>
            <w:tcW w:type="dxa" w:w="1661"/>
          </w:tcPr>
          <w:p>
            <w:pPr>
              <w:pStyle w:val="null3"/>
            </w:pPr>
            <w:r>
              <w:rPr>
                <w:rFonts w:ascii="仿宋_GB2312" w:hAnsi="仿宋_GB2312" w:cs="仿宋_GB2312" w:eastAsia="仿宋_GB2312"/>
              </w:rPr>
              <w:t>响应文件封面 分项报价表 标的清单 报价表 响应方案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报价唯一；响应报价不超过采购预算。</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协商保证金交纳</w:t>
            </w:r>
          </w:p>
        </w:tc>
        <w:tc>
          <w:tcPr>
            <w:tcW w:type="dxa" w:w="3322"/>
          </w:tcPr>
          <w:p>
            <w:pPr>
              <w:pStyle w:val="null3"/>
            </w:pPr>
            <w:r>
              <w:rPr>
                <w:rFonts w:ascii="仿宋_GB2312" w:hAnsi="仿宋_GB2312" w:cs="仿宋_GB2312" w:eastAsia="仿宋_GB2312"/>
              </w:rPr>
              <w:t>按采购文件规定交纳协商保证金。</w:t>
            </w:r>
          </w:p>
        </w:tc>
        <w:tc>
          <w:tcPr>
            <w:tcW w:type="dxa" w:w="1661"/>
          </w:tcPr>
          <w:p>
            <w:pPr>
              <w:pStyle w:val="null3"/>
            </w:pPr>
            <w:r>
              <w:rPr>
                <w:rFonts w:ascii="仿宋_GB2312" w:hAnsi="仿宋_GB2312" w:cs="仿宋_GB2312" w:eastAsia="仿宋_GB2312"/>
              </w:rPr>
              <w:t>协商保证金交纳凭据</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服务期符合采购文件要求。</w:t>
            </w:r>
          </w:p>
        </w:tc>
        <w:tc>
          <w:tcPr>
            <w:tcW w:type="dxa" w:w="1661"/>
          </w:tcPr>
          <w:p>
            <w:pPr>
              <w:pStyle w:val="null3"/>
            </w:pPr>
            <w:r>
              <w:rPr>
                <w:rFonts w:ascii="仿宋_GB2312" w:hAnsi="仿宋_GB2312" w:cs="仿宋_GB2312" w:eastAsia="仿宋_GB2312"/>
              </w:rPr>
              <w:t>标的清单 报价表 服务要求应答表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详见附件：采购标的成本说明、供应商相关专利及专有技术情况说明、同类项目合同价格说明</w:t>
      </w:r>
    </w:p>
    <w:p>
      <w:pPr>
        <w:pStyle w:val="null3"/>
        <w:ind w:firstLine="960"/>
      </w:pPr>
      <w:r>
        <w:rPr>
          <w:rFonts w:ascii="仿宋_GB2312" w:hAnsi="仿宋_GB2312" w:cs="仿宋_GB2312" w:eastAsia="仿宋_GB2312"/>
        </w:rPr>
        <w:t>详见附件：协商保证金交纳凭据</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