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82EFD">
      <w:pPr>
        <w:spacing w:line="360" w:lineRule="auto"/>
        <w:rPr>
          <w:rFonts w:hint="eastAsia" w:ascii="宋体" w:hAnsi="宋体" w:eastAsia="宋体" w:cs="宋体"/>
          <w:b/>
          <w:color w:val="auto"/>
          <w:sz w:val="24"/>
        </w:rPr>
      </w:pPr>
    </w:p>
    <w:p w14:paraId="6C8275F3">
      <w:pPr>
        <w:autoSpaceDE w:val="0"/>
        <w:autoSpaceDN w:val="0"/>
        <w:adjustRightInd w:val="0"/>
        <w:rPr>
          <w:rFonts w:hint="eastAsia" w:ascii="宋体" w:hAnsi="宋体" w:eastAsia="宋体" w:cs="宋体"/>
          <w:b/>
          <w:bCs/>
          <w:color w:val="auto"/>
          <w:sz w:val="30"/>
          <w:szCs w:val="30"/>
          <w:u w:val="single"/>
        </w:rPr>
      </w:pPr>
      <w:r>
        <w:rPr>
          <w:rFonts w:hint="eastAsia" w:ascii="宋体" w:hAnsi="宋体" w:eastAsia="宋体" w:cs="宋体"/>
          <w:color w:val="auto"/>
          <w:sz w:val="30"/>
          <w:szCs w:val="30"/>
        </w:rPr>
        <w:t xml:space="preserve">GF—2015—0212               </w:t>
      </w:r>
    </w:p>
    <w:p w14:paraId="77780DF3">
      <w:pPr>
        <w:autoSpaceDE w:val="0"/>
        <w:autoSpaceDN w:val="0"/>
        <w:adjustRightInd w:val="0"/>
        <w:jc w:val="center"/>
        <w:rPr>
          <w:rFonts w:hint="eastAsia" w:ascii="宋体" w:hAnsi="宋体" w:eastAsia="宋体" w:cs="宋体"/>
          <w:b/>
          <w:color w:val="auto"/>
          <w:sz w:val="36"/>
          <w:szCs w:val="36"/>
        </w:rPr>
      </w:pPr>
    </w:p>
    <w:p w14:paraId="37DDA068">
      <w:pPr>
        <w:pStyle w:val="2"/>
        <w:rPr>
          <w:rFonts w:hint="eastAsia" w:ascii="宋体" w:hAnsi="宋体" w:eastAsia="宋体" w:cs="宋体"/>
        </w:rPr>
      </w:pPr>
    </w:p>
    <w:p w14:paraId="6E0696D8">
      <w:pPr>
        <w:autoSpaceDE w:val="0"/>
        <w:autoSpaceDN w:val="0"/>
        <w:adjustRightInd w:val="0"/>
        <w:jc w:val="center"/>
        <w:rPr>
          <w:rFonts w:hint="eastAsia" w:ascii="宋体" w:hAnsi="宋体" w:eastAsia="宋体" w:cs="宋体"/>
          <w:b/>
          <w:color w:val="auto"/>
          <w:sz w:val="36"/>
          <w:szCs w:val="36"/>
        </w:rPr>
      </w:pPr>
      <w:r>
        <w:rPr>
          <w:rFonts w:hint="eastAsia" w:ascii="宋体" w:hAnsi="宋体" w:eastAsia="宋体" w:cs="宋体"/>
          <w:b/>
          <w:color w:val="auto"/>
          <w:sz w:val="36"/>
          <w:szCs w:val="36"/>
          <w:lang w:val="en-US" w:eastAsia="zh-CN"/>
        </w:rPr>
        <w:t>陕西省渭南市渭北地区固沟保塬生态保护修复项目（2024年）验收结算审核</w:t>
      </w:r>
    </w:p>
    <w:p w14:paraId="7BE25DAA">
      <w:pPr>
        <w:autoSpaceDE w:val="0"/>
        <w:autoSpaceDN w:val="0"/>
        <w:adjustRightInd w:val="0"/>
        <w:jc w:val="center"/>
        <w:rPr>
          <w:rFonts w:hint="eastAsia" w:ascii="宋体" w:hAnsi="宋体" w:eastAsia="宋体" w:cs="宋体"/>
          <w:b/>
          <w:bCs/>
          <w:color w:val="auto"/>
          <w:sz w:val="30"/>
          <w:szCs w:val="30"/>
          <w:u w:val="single"/>
        </w:rPr>
      </w:pPr>
    </w:p>
    <w:p w14:paraId="49AEEEA7">
      <w:pPr>
        <w:autoSpaceDE w:val="0"/>
        <w:autoSpaceDN w:val="0"/>
        <w:adjustRightInd w:val="0"/>
        <w:jc w:val="center"/>
        <w:rPr>
          <w:rFonts w:hint="eastAsia" w:ascii="宋体" w:hAnsi="宋体" w:eastAsia="宋体" w:cs="宋体"/>
          <w:b/>
          <w:bCs/>
          <w:color w:val="auto"/>
          <w:sz w:val="30"/>
          <w:szCs w:val="30"/>
          <w:u w:val="single"/>
        </w:rPr>
      </w:pPr>
    </w:p>
    <w:p w14:paraId="3A616FEC">
      <w:pPr>
        <w:autoSpaceDE w:val="0"/>
        <w:autoSpaceDN w:val="0"/>
        <w:adjustRightInd w:val="0"/>
        <w:jc w:val="center"/>
        <w:rPr>
          <w:rFonts w:hint="eastAsia" w:ascii="宋体" w:hAnsi="宋体" w:eastAsia="宋体" w:cs="宋体"/>
          <w:b/>
          <w:bCs/>
          <w:color w:val="auto"/>
          <w:sz w:val="72"/>
          <w:szCs w:val="72"/>
        </w:rPr>
      </w:pPr>
      <w:r>
        <w:rPr>
          <w:rFonts w:hint="eastAsia" w:ascii="宋体" w:hAnsi="宋体" w:eastAsia="宋体" w:cs="宋体"/>
          <w:b/>
          <w:bCs/>
          <w:color w:val="auto"/>
          <w:sz w:val="72"/>
          <w:szCs w:val="72"/>
        </w:rPr>
        <w:t>建设工程造价咨询合同</w:t>
      </w:r>
    </w:p>
    <w:p w14:paraId="14C58296">
      <w:pPr>
        <w:autoSpaceDE w:val="0"/>
        <w:autoSpaceDN w:val="0"/>
        <w:adjustRightInd w:val="0"/>
        <w:rPr>
          <w:rFonts w:hint="eastAsia" w:ascii="宋体" w:hAnsi="宋体" w:eastAsia="宋体" w:cs="宋体"/>
          <w:color w:val="auto"/>
          <w:sz w:val="32"/>
          <w:szCs w:val="32"/>
        </w:rPr>
      </w:pPr>
    </w:p>
    <w:p w14:paraId="49FE9DE5">
      <w:pPr>
        <w:autoSpaceDE w:val="0"/>
        <w:autoSpaceDN w:val="0"/>
        <w:adjustRightInd w:val="0"/>
        <w:rPr>
          <w:rFonts w:hint="eastAsia" w:ascii="宋体" w:hAnsi="宋体" w:eastAsia="宋体" w:cs="宋体"/>
          <w:color w:val="auto"/>
          <w:sz w:val="32"/>
          <w:szCs w:val="32"/>
        </w:rPr>
      </w:pPr>
    </w:p>
    <w:p w14:paraId="248191C3">
      <w:pPr>
        <w:pStyle w:val="2"/>
        <w:rPr>
          <w:rFonts w:hint="eastAsia" w:ascii="宋体" w:hAnsi="宋体" w:eastAsia="宋体" w:cs="宋体"/>
          <w:color w:val="auto"/>
          <w:sz w:val="32"/>
          <w:szCs w:val="32"/>
        </w:rPr>
      </w:pPr>
    </w:p>
    <w:p w14:paraId="4F2F2B2E">
      <w:pPr>
        <w:rPr>
          <w:rFonts w:hint="eastAsia" w:ascii="宋体" w:hAnsi="宋体" w:eastAsia="宋体" w:cs="宋体"/>
        </w:rPr>
      </w:pPr>
    </w:p>
    <w:p w14:paraId="1A89867F">
      <w:pPr>
        <w:autoSpaceDE w:val="0"/>
        <w:autoSpaceDN w:val="0"/>
        <w:adjustRightInd w:val="0"/>
        <w:rPr>
          <w:rFonts w:hint="eastAsia" w:ascii="宋体" w:hAnsi="宋体" w:eastAsia="宋体" w:cs="宋体"/>
          <w:color w:val="auto"/>
          <w:sz w:val="32"/>
          <w:szCs w:val="32"/>
        </w:rPr>
      </w:pPr>
    </w:p>
    <w:p w14:paraId="5E05B374">
      <w:pPr>
        <w:autoSpaceDE w:val="0"/>
        <w:autoSpaceDN w:val="0"/>
        <w:adjustRightInd w:val="0"/>
        <w:rPr>
          <w:rFonts w:hint="eastAsia" w:ascii="宋体" w:hAnsi="宋体" w:eastAsia="宋体" w:cs="宋体"/>
          <w:color w:val="auto"/>
          <w:sz w:val="32"/>
          <w:szCs w:val="32"/>
        </w:rPr>
      </w:pPr>
    </w:p>
    <w:p w14:paraId="6FAE02F5">
      <w:pPr>
        <w:autoSpaceDE w:val="0"/>
        <w:autoSpaceDN w:val="0"/>
        <w:adjustRightInd w:val="0"/>
        <w:rPr>
          <w:rFonts w:hint="eastAsia" w:ascii="宋体" w:hAnsi="宋体" w:eastAsia="宋体" w:cs="宋体"/>
          <w:color w:val="auto"/>
          <w:sz w:val="32"/>
          <w:szCs w:val="32"/>
        </w:rPr>
      </w:pPr>
    </w:p>
    <w:p w14:paraId="38F1DF25">
      <w:pPr>
        <w:autoSpaceDE w:val="0"/>
        <w:autoSpaceDN w:val="0"/>
        <w:adjustRightInd w:val="0"/>
        <w:rPr>
          <w:rFonts w:hint="eastAsia" w:ascii="宋体" w:hAnsi="宋体" w:eastAsia="宋体" w:cs="宋体"/>
          <w:color w:val="auto"/>
          <w:sz w:val="32"/>
          <w:szCs w:val="32"/>
        </w:rPr>
      </w:pPr>
    </w:p>
    <w:p w14:paraId="3932F148">
      <w:pPr>
        <w:autoSpaceDE w:val="0"/>
        <w:autoSpaceDN w:val="0"/>
        <w:adjustRightInd w:val="0"/>
        <w:rPr>
          <w:rFonts w:hint="eastAsia" w:ascii="宋体" w:hAnsi="宋体" w:eastAsia="宋体" w:cs="宋体"/>
          <w:color w:val="auto"/>
          <w:sz w:val="32"/>
          <w:szCs w:val="32"/>
        </w:rPr>
      </w:pPr>
    </w:p>
    <w:p w14:paraId="4830C221">
      <w:pPr>
        <w:autoSpaceDE w:val="0"/>
        <w:autoSpaceDN w:val="0"/>
        <w:adjustRightInd w:val="0"/>
        <w:rPr>
          <w:rFonts w:hint="eastAsia" w:ascii="宋体" w:hAnsi="宋体" w:eastAsia="宋体" w:cs="宋体"/>
          <w:color w:val="auto"/>
          <w:sz w:val="32"/>
          <w:szCs w:val="32"/>
        </w:rPr>
      </w:pPr>
    </w:p>
    <w:p w14:paraId="45ACF78E">
      <w:pPr>
        <w:pStyle w:val="2"/>
        <w:rPr>
          <w:rFonts w:hint="eastAsia" w:ascii="宋体" w:hAnsi="宋体" w:eastAsia="宋体" w:cs="宋体"/>
          <w:color w:val="auto"/>
        </w:rPr>
      </w:pPr>
    </w:p>
    <w:p w14:paraId="0E75C234">
      <w:pPr>
        <w:autoSpaceDE w:val="0"/>
        <w:autoSpaceDN w:val="0"/>
        <w:adjustRightInd w:val="0"/>
        <w:rPr>
          <w:rFonts w:hint="eastAsia" w:ascii="宋体" w:hAnsi="宋体" w:eastAsia="宋体" w:cs="宋体"/>
          <w:color w:val="auto"/>
          <w:sz w:val="32"/>
          <w:szCs w:val="32"/>
        </w:rPr>
      </w:pPr>
    </w:p>
    <w:p w14:paraId="7AC4A876">
      <w:pPr>
        <w:autoSpaceDE w:val="0"/>
        <w:autoSpaceDN w:val="0"/>
        <w:adjustRightInd w:val="0"/>
        <w:rPr>
          <w:rFonts w:hint="eastAsia" w:ascii="宋体" w:hAnsi="宋体" w:eastAsia="宋体" w:cs="宋体"/>
          <w:color w:val="auto"/>
          <w:sz w:val="32"/>
          <w:szCs w:val="32"/>
        </w:rPr>
      </w:pPr>
    </w:p>
    <w:p w14:paraId="077C0E58">
      <w:pPr>
        <w:autoSpaceDE w:val="0"/>
        <w:autoSpaceDN w:val="0"/>
        <w:adjustRightInd w:val="0"/>
        <w:rPr>
          <w:rFonts w:hint="eastAsia" w:ascii="宋体" w:hAnsi="宋体" w:eastAsia="宋体" w:cs="宋体"/>
          <w:color w:val="auto"/>
          <w:sz w:val="32"/>
          <w:szCs w:val="32"/>
        </w:rPr>
      </w:pPr>
    </w:p>
    <w:p w14:paraId="700BB500">
      <w:pPr>
        <w:autoSpaceDE w:val="0"/>
        <w:autoSpaceDN w:val="0"/>
        <w:adjustRightInd w:val="0"/>
        <w:spacing w:line="440" w:lineRule="exact"/>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住 房 城 乡 建 设 部</w:t>
      </w:r>
    </w:p>
    <w:p w14:paraId="212BDFED">
      <w:pPr>
        <w:autoSpaceDE w:val="0"/>
        <w:autoSpaceDN w:val="0"/>
        <w:adjustRightInd w:val="0"/>
        <w:spacing w:line="480" w:lineRule="exact"/>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 xml:space="preserve">                           制定</w:t>
      </w:r>
    </w:p>
    <w:p w14:paraId="3979C73F">
      <w:pPr>
        <w:autoSpaceDE w:val="0"/>
        <w:autoSpaceDN w:val="0"/>
        <w:adjustRightInd w:val="0"/>
        <w:spacing w:line="440" w:lineRule="exact"/>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国家工商行政管理总局</w:t>
      </w:r>
    </w:p>
    <w:p w14:paraId="024D7980">
      <w:pPr>
        <w:keepNext w:val="0"/>
        <w:keepLines w:val="0"/>
        <w:pageBreakBefore w:val="0"/>
        <w:widowControl w:val="0"/>
        <w:kinsoku/>
        <w:wordWrap/>
        <w:overflowPunct/>
        <w:topLinePunct w:val="0"/>
        <w:bidi w:val="0"/>
        <w:snapToGrid/>
        <w:spacing w:line="500" w:lineRule="exact"/>
        <w:jc w:val="left"/>
        <w:textAlignment w:val="auto"/>
        <w:rPr>
          <w:rFonts w:hint="eastAsia" w:ascii="宋体" w:hAnsi="宋体" w:eastAsia="宋体" w:cs="宋体"/>
          <w:color w:val="auto"/>
          <w:sz w:val="24"/>
        </w:rPr>
      </w:pPr>
    </w:p>
    <w:p w14:paraId="54FA022F">
      <w:pPr>
        <w:spacing w:line="360" w:lineRule="auto"/>
        <w:rPr>
          <w:rFonts w:hint="eastAsia" w:ascii="宋体" w:hAnsi="宋体" w:eastAsia="宋体" w:cs="宋体"/>
          <w:b/>
          <w:color w:val="auto"/>
          <w:sz w:val="24"/>
        </w:rPr>
      </w:pPr>
    </w:p>
    <w:p w14:paraId="4B6810BE">
      <w:pPr>
        <w:pStyle w:val="2"/>
        <w:rPr>
          <w:rFonts w:hint="eastAsia" w:ascii="宋体" w:hAnsi="宋体" w:eastAsia="宋体" w:cs="宋体"/>
          <w:color w:val="auto"/>
          <w:kern w:val="0"/>
          <w:sz w:val="28"/>
          <w:szCs w:val="28"/>
        </w:rPr>
      </w:pPr>
    </w:p>
    <w:p w14:paraId="77563799">
      <w:pPr>
        <w:pStyle w:val="3"/>
        <w:spacing w:before="120" w:after="120" w:line="240" w:lineRule="auto"/>
        <w:jc w:val="center"/>
        <w:rPr>
          <w:rFonts w:hint="eastAsia" w:ascii="宋体" w:hAnsi="宋体" w:eastAsia="宋体" w:cs="宋体"/>
          <w:color w:val="auto"/>
          <w:sz w:val="32"/>
          <w:szCs w:val="32"/>
        </w:rPr>
      </w:pPr>
      <w:bookmarkStart w:id="0" w:name="_Toc24417"/>
      <w:bookmarkStart w:id="1" w:name="_Toc3926"/>
      <w:bookmarkStart w:id="2" w:name="_Toc419045055"/>
      <w:bookmarkStart w:id="3" w:name="_Toc467877788"/>
      <w:r>
        <w:rPr>
          <w:rFonts w:hint="eastAsia" w:ascii="宋体" w:hAnsi="宋体" w:eastAsia="宋体" w:cs="宋体"/>
          <w:color w:val="auto"/>
          <w:sz w:val="32"/>
          <w:szCs w:val="32"/>
        </w:rPr>
        <w:t>第一部分  协议书</w:t>
      </w:r>
      <w:bookmarkEnd w:id="0"/>
      <w:bookmarkEnd w:id="1"/>
      <w:bookmarkEnd w:id="2"/>
      <w:bookmarkEnd w:id="3"/>
    </w:p>
    <w:p w14:paraId="53275102">
      <w:pPr>
        <w:pStyle w:val="307"/>
        <w:keepNext w:val="0"/>
        <w:keepLines w:val="0"/>
        <w:pageBreakBefore w:val="0"/>
        <w:widowControl w:val="0"/>
        <w:kinsoku/>
        <w:wordWrap/>
        <w:overflowPunct/>
        <w:topLinePunct w:val="0"/>
        <w:bidi w:val="0"/>
        <w:snapToGrid/>
        <w:spacing w:line="500" w:lineRule="exact"/>
        <w:ind w:firstLine="480" w:firstLineChars="200"/>
        <w:jc w:val="left"/>
        <w:rPr>
          <w:rFonts w:hint="eastAsia" w:ascii="宋体" w:hAnsi="宋体" w:eastAsia="宋体" w:cs="宋体"/>
          <w:color w:val="auto"/>
          <w:sz w:val="24"/>
          <w:szCs w:val="24"/>
          <w:lang w:val="en-US" w:eastAsia="zh-CN"/>
        </w:rPr>
      </w:pPr>
      <w:bookmarkStart w:id="4" w:name="7"/>
      <w:r>
        <w:rPr>
          <w:rFonts w:hint="eastAsia" w:ascii="宋体" w:hAnsi="宋体" w:eastAsia="宋体" w:cs="宋体"/>
          <w:color w:val="auto"/>
          <w:sz w:val="24"/>
          <w:szCs w:val="24"/>
        </w:rPr>
        <w:t>委托人（全称）：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渭南市林业局</w:t>
      </w:r>
      <w:r>
        <w:rPr>
          <w:rFonts w:hint="eastAsia" w:ascii="宋体" w:hAnsi="宋体" w:eastAsia="宋体" w:cs="宋体"/>
          <w:color w:val="auto"/>
          <w:sz w:val="24"/>
          <w:szCs w:val="24"/>
          <w:u w:val="single"/>
          <w:lang w:val="en-US" w:eastAsia="zh-CN"/>
        </w:rPr>
        <w:t xml:space="preserve">    </w:t>
      </w:r>
    </w:p>
    <w:p w14:paraId="731E9954">
      <w:pPr>
        <w:pStyle w:val="307"/>
        <w:keepNext w:val="0"/>
        <w:keepLines w:val="0"/>
        <w:pageBreakBefore w:val="0"/>
        <w:widowControl w:val="0"/>
        <w:kinsoku/>
        <w:wordWrap/>
        <w:overflowPunct/>
        <w:topLinePunct w:val="0"/>
        <w:bidi w:val="0"/>
        <w:snapToGrid/>
        <w:spacing w:line="500" w:lineRule="exact"/>
        <w:ind w:firstLine="480" w:firstLineChars="200"/>
        <w:jc w:val="left"/>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咨询人（全称）：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671CF093">
      <w:pPr>
        <w:pStyle w:val="307"/>
        <w:keepNext w:val="0"/>
        <w:keepLines w:val="0"/>
        <w:pageBreakBefore w:val="0"/>
        <w:widowControl w:val="0"/>
        <w:kinsoku/>
        <w:wordWrap/>
        <w:overflowPunct/>
        <w:topLinePunct w:val="0"/>
        <w:bidi w:val="0"/>
        <w:snapToGrid/>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根据《</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"javascript:SLC(21651,0)" </w:instrText>
      </w:r>
      <w:r>
        <w:rPr>
          <w:rFonts w:hint="eastAsia" w:ascii="宋体" w:hAnsi="宋体" w:eastAsia="宋体" w:cs="宋体"/>
          <w:color w:val="auto"/>
          <w:sz w:val="24"/>
          <w:szCs w:val="24"/>
        </w:rPr>
        <w:fldChar w:fldCharType="separate"/>
      </w:r>
      <w:r>
        <w:rPr>
          <w:rStyle w:val="141"/>
          <w:rFonts w:hint="eastAsia" w:ascii="宋体" w:hAnsi="宋体" w:eastAsia="宋体" w:cs="宋体"/>
          <w:color w:val="auto"/>
          <w:sz w:val="24"/>
          <w:szCs w:val="24"/>
        </w:rPr>
        <w:t>中华人民共和国</w:t>
      </w:r>
      <w:r>
        <w:rPr>
          <w:rStyle w:val="141"/>
          <w:rFonts w:hint="eastAsia" w:ascii="宋体" w:hAnsi="宋体" w:eastAsia="宋体" w:cs="宋体"/>
          <w:color w:val="auto"/>
          <w:sz w:val="24"/>
          <w:szCs w:val="24"/>
          <w:lang w:eastAsia="zh-CN"/>
        </w:rPr>
        <w:t>民法典</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》及其他有关法律、法规，遵循平等、自愿、公平和诚实信用的原则，双方就下述建设工程委托造价咨询与其他服务事项协商一致，订立本合同。</w:t>
      </w:r>
    </w:p>
    <w:p w14:paraId="16928B3F">
      <w:pPr>
        <w:keepNext w:val="0"/>
        <w:keepLines w:val="0"/>
        <w:pageBreakBefore w:val="0"/>
        <w:widowControl w:val="0"/>
        <w:kinsoku/>
        <w:wordWrap/>
        <w:overflowPunct/>
        <w:topLinePunct w:val="0"/>
        <w:bidi w:val="0"/>
        <w:snapToGrid/>
        <w:spacing w:line="500" w:lineRule="exact"/>
        <w:ind w:firstLine="482" w:firstLineChars="200"/>
        <w:rPr>
          <w:rFonts w:hint="eastAsia" w:ascii="宋体" w:hAnsi="宋体" w:eastAsia="宋体" w:cs="宋体"/>
          <w:color w:val="auto"/>
          <w:sz w:val="24"/>
          <w:szCs w:val="24"/>
        </w:rPr>
      </w:pPr>
      <w:bookmarkStart w:id="5" w:name="_Toc5808"/>
      <w:bookmarkStart w:id="6" w:name="_Toc7481"/>
      <w:bookmarkStart w:id="7" w:name="_Toc27591"/>
      <w:bookmarkStart w:id="8" w:name="_Toc467877789"/>
      <w:bookmarkStart w:id="9" w:name="_Toc419045056"/>
      <w:r>
        <w:rPr>
          <w:rStyle w:val="308"/>
          <w:rFonts w:hint="eastAsia" w:ascii="宋体" w:hAnsi="宋体" w:eastAsia="宋体" w:cs="宋体"/>
          <w:color w:val="auto"/>
          <w:sz w:val="24"/>
          <w:szCs w:val="24"/>
        </w:rPr>
        <w:t>一、工程概况</w:t>
      </w:r>
      <w:bookmarkEnd w:id="5"/>
      <w:bookmarkEnd w:id="6"/>
      <w:bookmarkEnd w:id="7"/>
      <w:bookmarkEnd w:id="8"/>
    </w:p>
    <w:bookmarkEnd w:id="4"/>
    <w:bookmarkEnd w:id="9"/>
    <w:p w14:paraId="037CE8EF">
      <w:pPr>
        <w:keepNext w:val="0"/>
        <w:keepLines w:val="0"/>
        <w:pageBreakBefore w:val="0"/>
        <w:widowControl w:val="0"/>
        <w:kinsoku/>
        <w:wordWrap/>
        <w:overflowPunct/>
        <w:topLinePunct w:val="0"/>
        <w:autoSpaceDE w:val="0"/>
        <w:autoSpaceDN w:val="0"/>
        <w:bidi w:val="0"/>
        <w:adjustRightInd w:val="0"/>
        <w:snapToGrid/>
        <w:spacing w:line="500" w:lineRule="exact"/>
        <w:ind w:firstLine="720" w:firstLineChars="300"/>
        <w:rPr>
          <w:rFonts w:hint="eastAsia" w:ascii="宋体" w:hAnsi="宋体" w:eastAsia="宋体" w:cs="宋体"/>
          <w:color w:val="auto"/>
          <w:sz w:val="24"/>
          <w:szCs w:val="24"/>
        </w:rPr>
      </w:pPr>
      <w:bookmarkStart w:id="10" w:name="_Toc419045059"/>
      <w:r>
        <w:rPr>
          <w:rFonts w:hint="eastAsia" w:ascii="宋体" w:hAnsi="宋体" w:eastAsia="宋体" w:cs="宋体"/>
          <w:color w:val="auto"/>
          <w:sz w:val="24"/>
          <w:szCs w:val="24"/>
        </w:rPr>
        <w:t>1.工程名称：</w:t>
      </w:r>
      <w:r>
        <w:rPr>
          <w:rFonts w:hint="eastAsia" w:ascii="宋体" w:hAnsi="宋体" w:eastAsia="宋体" w:cs="宋体"/>
          <w:color w:val="auto"/>
          <w:sz w:val="24"/>
          <w:szCs w:val="24"/>
          <w:u w:val="single"/>
          <w:lang w:eastAsia="zh-CN"/>
        </w:rPr>
        <w:t>陕西省渭南市渭北地区固沟保塬生态保护修复项目（2024年）验收结算审核</w:t>
      </w:r>
      <w:r>
        <w:rPr>
          <w:rFonts w:hint="eastAsia" w:ascii="宋体" w:hAnsi="宋体" w:eastAsia="宋体" w:cs="宋体"/>
          <w:color w:val="auto"/>
          <w:sz w:val="24"/>
          <w:szCs w:val="24"/>
        </w:rPr>
        <w:t>。</w:t>
      </w:r>
    </w:p>
    <w:p w14:paraId="351A7305">
      <w:pPr>
        <w:keepNext w:val="0"/>
        <w:keepLines w:val="0"/>
        <w:pageBreakBefore w:val="0"/>
        <w:widowControl w:val="0"/>
        <w:kinsoku/>
        <w:wordWrap/>
        <w:overflowPunct/>
        <w:topLinePunct w:val="0"/>
        <w:autoSpaceDE w:val="0"/>
        <w:autoSpaceDN w:val="0"/>
        <w:bidi w:val="0"/>
        <w:adjustRightInd w:val="0"/>
        <w:snapToGrid/>
        <w:spacing w:line="500" w:lineRule="exact"/>
        <w:ind w:firstLine="720" w:firstLineChars="3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2.工程地点：</w:t>
      </w:r>
      <w:r>
        <w:rPr>
          <w:rFonts w:hint="eastAsia" w:ascii="宋体" w:hAnsi="宋体" w:eastAsia="宋体" w:cs="宋体"/>
          <w:color w:val="auto"/>
          <w:sz w:val="24"/>
          <w:szCs w:val="24"/>
          <w:u w:val="single"/>
          <w:lang w:eastAsia="zh-CN"/>
        </w:rPr>
        <w:t>渭南市澄城县、合阳县、蒲城县、富平县、白水县。</w:t>
      </w:r>
    </w:p>
    <w:p w14:paraId="1F4CF9E4">
      <w:pPr>
        <w:keepNext w:val="0"/>
        <w:keepLines w:val="0"/>
        <w:pageBreakBefore w:val="0"/>
        <w:widowControl w:val="0"/>
        <w:kinsoku/>
        <w:wordWrap/>
        <w:overflowPunct/>
        <w:topLinePunct w:val="0"/>
        <w:autoSpaceDE w:val="0"/>
        <w:autoSpaceDN w:val="0"/>
        <w:bidi w:val="0"/>
        <w:adjustRightInd w:val="0"/>
        <w:snapToGrid/>
        <w:spacing w:line="500" w:lineRule="exact"/>
        <w:ind w:firstLine="720" w:firstLineChars="3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3.工程规模：</w:t>
      </w:r>
      <w:r>
        <w:rPr>
          <w:rFonts w:hint="eastAsia" w:ascii="宋体" w:hAnsi="宋体" w:eastAsia="宋体" w:cs="宋体"/>
          <w:color w:val="auto"/>
          <w:sz w:val="24"/>
          <w:szCs w:val="24"/>
          <w:u w:val="single"/>
          <w:lang w:val="en-US" w:eastAsia="zh-CN"/>
        </w:rPr>
        <w:t>陕西省</w:t>
      </w:r>
      <w:r>
        <w:rPr>
          <w:rFonts w:hint="eastAsia" w:ascii="宋体" w:hAnsi="宋体" w:eastAsia="宋体" w:cs="宋体"/>
          <w:color w:val="auto"/>
          <w:sz w:val="24"/>
          <w:szCs w:val="24"/>
          <w:u w:val="single"/>
          <w:lang w:eastAsia="zh-CN"/>
        </w:rPr>
        <w:t>渭南市渭北地区固沟保塬生态保护修复项目（2024年）总规模76500亩，涉及人工造林和退化林修复两大综合技术措施。其中：（1）人工造林27500亩，包含：白水县2500亩、澄城县20000亩、富平县2000亩、蒲城县3000亩；（2）退化林修复49000亩，包含：白水县20000亩、合阳县17000亩、富平县10000亩、蒲城县2000亩。施工共划分</w:t>
      </w:r>
      <w:r>
        <w:rPr>
          <w:rFonts w:hint="eastAsia" w:ascii="宋体" w:hAnsi="宋体" w:eastAsia="宋体" w:cs="宋体"/>
          <w:color w:val="auto"/>
          <w:sz w:val="24"/>
          <w:szCs w:val="24"/>
          <w:u w:val="single"/>
          <w:lang w:val="en-US" w:eastAsia="zh-CN"/>
        </w:rPr>
        <w:t>8个施工标段。</w:t>
      </w:r>
    </w:p>
    <w:p w14:paraId="740EB4FB">
      <w:pPr>
        <w:keepNext w:val="0"/>
        <w:keepLines w:val="0"/>
        <w:pageBreakBefore w:val="0"/>
        <w:widowControl w:val="0"/>
        <w:kinsoku/>
        <w:wordWrap/>
        <w:overflowPunct/>
        <w:topLinePunct w:val="0"/>
        <w:autoSpaceDE w:val="0"/>
        <w:autoSpaceDN w:val="0"/>
        <w:bidi w:val="0"/>
        <w:adjustRightInd w:val="0"/>
        <w:snapToGrid/>
        <w:spacing w:line="500" w:lineRule="exact"/>
        <w:ind w:firstLine="720" w:firstLineChars="300"/>
        <w:rPr>
          <w:rFonts w:hint="eastAsia" w:ascii="宋体" w:hAnsi="宋体" w:eastAsia="宋体" w:cs="宋体"/>
          <w:color w:val="auto"/>
          <w:sz w:val="24"/>
          <w:szCs w:val="24"/>
          <w:u w:val="single"/>
        </w:rPr>
      </w:pPr>
      <w:r>
        <w:rPr>
          <w:rFonts w:hint="eastAsia" w:ascii="宋体" w:hAnsi="宋体" w:eastAsia="宋体" w:cs="宋体"/>
          <w:color w:val="auto"/>
          <w:sz w:val="24"/>
          <w:szCs w:val="24"/>
        </w:rPr>
        <w:t>4.投资金额：</w:t>
      </w:r>
      <w:r>
        <w:rPr>
          <w:rFonts w:hint="eastAsia" w:ascii="宋体" w:hAnsi="宋体" w:eastAsia="宋体" w:cs="宋体"/>
          <w:color w:val="auto"/>
          <w:sz w:val="24"/>
          <w:szCs w:val="24"/>
          <w:u w:val="single"/>
          <w:lang w:eastAsia="zh-CN"/>
        </w:rPr>
        <w:t>约</w:t>
      </w:r>
      <w:r>
        <w:rPr>
          <w:rFonts w:hint="eastAsia" w:ascii="宋体" w:hAnsi="宋体" w:eastAsia="宋体" w:cs="宋体"/>
          <w:color w:val="auto"/>
          <w:sz w:val="24"/>
          <w:szCs w:val="24"/>
          <w:u w:val="single"/>
          <w:lang w:val="en-US" w:eastAsia="zh-CN"/>
        </w:rPr>
        <w:t>5270.94</w:t>
      </w:r>
      <w:r>
        <w:rPr>
          <w:rFonts w:hint="eastAsia" w:ascii="宋体" w:hAnsi="宋体" w:eastAsia="宋体" w:cs="宋体"/>
          <w:color w:val="auto"/>
          <w:sz w:val="24"/>
          <w:szCs w:val="24"/>
          <w:u w:val="single"/>
        </w:rPr>
        <w:t>万元。</w:t>
      </w:r>
    </w:p>
    <w:p w14:paraId="6AD96F0C">
      <w:pPr>
        <w:keepNext w:val="0"/>
        <w:keepLines w:val="0"/>
        <w:pageBreakBefore w:val="0"/>
        <w:widowControl w:val="0"/>
        <w:kinsoku/>
        <w:wordWrap/>
        <w:overflowPunct/>
        <w:topLinePunct w:val="0"/>
        <w:autoSpaceDE w:val="0"/>
        <w:autoSpaceDN w:val="0"/>
        <w:bidi w:val="0"/>
        <w:adjustRightInd w:val="0"/>
        <w:snapToGrid/>
        <w:spacing w:line="50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5.资金来源：</w:t>
      </w:r>
      <w:r>
        <w:rPr>
          <w:rFonts w:hint="eastAsia" w:ascii="宋体" w:hAnsi="宋体" w:eastAsia="宋体" w:cs="宋体"/>
          <w:color w:val="auto"/>
          <w:sz w:val="24"/>
          <w:szCs w:val="24"/>
          <w:u w:val="single"/>
          <w:lang w:eastAsia="zh-CN"/>
        </w:rPr>
        <w:t>超长期特别国债资金</w:t>
      </w:r>
      <w:r>
        <w:rPr>
          <w:rFonts w:hint="eastAsia" w:ascii="宋体" w:hAnsi="宋体" w:eastAsia="宋体" w:cs="宋体"/>
          <w:color w:val="auto"/>
          <w:sz w:val="24"/>
          <w:szCs w:val="24"/>
          <w:u w:val="single"/>
        </w:rPr>
        <w:t>。</w:t>
      </w:r>
    </w:p>
    <w:p w14:paraId="18027D66">
      <w:pPr>
        <w:keepNext w:val="0"/>
        <w:keepLines w:val="0"/>
        <w:pageBreakBefore w:val="0"/>
        <w:widowControl w:val="0"/>
        <w:kinsoku/>
        <w:wordWrap/>
        <w:overflowPunct/>
        <w:topLinePunct w:val="0"/>
        <w:autoSpaceDE w:val="0"/>
        <w:autoSpaceDN w:val="0"/>
        <w:bidi w:val="0"/>
        <w:adjustRightInd w:val="0"/>
        <w:snapToGrid/>
        <w:spacing w:line="50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6.建设工期：</w:t>
      </w:r>
      <w:r>
        <w:rPr>
          <w:rFonts w:hint="eastAsia" w:ascii="宋体" w:hAnsi="宋体" w:eastAsia="宋体" w:cs="宋体"/>
          <w:color w:val="auto"/>
          <w:sz w:val="24"/>
          <w:szCs w:val="24"/>
          <w:u w:val="single"/>
          <w:lang w:val="en-US" w:eastAsia="zh-CN"/>
        </w:rPr>
        <w:t>工期原则至2026年4月（其中：施工期90日历天，管护期1年），如施工工期内未按时完工，管护期相应顺延。</w:t>
      </w:r>
    </w:p>
    <w:p w14:paraId="710CC865">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Fonts w:hint="eastAsia" w:ascii="宋体" w:hAnsi="宋体" w:eastAsia="宋体" w:cs="宋体"/>
          <w:color w:val="auto"/>
          <w:sz w:val="24"/>
          <w:szCs w:val="24"/>
        </w:rPr>
      </w:pPr>
      <w:bookmarkStart w:id="11" w:name="_Toc7959"/>
      <w:bookmarkStart w:id="12" w:name="_Toc31069"/>
      <w:bookmarkStart w:id="13" w:name="_Toc467877790"/>
      <w:bookmarkStart w:id="14" w:name="_Toc14960"/>
      <w:r>
        <w:rPr>
          <w:rFonts w:hint="eastAsia" w:ascii="宋体" w:hAnsi="宋体" w:eastAsia="宋体" w:cs="宋体"/>
          <w:color w:val="auto"/>
          <w:sz w:val="24"/>
          <w:szCs w:val="24"/>
        </w:rPr>
        <w:t>二、服务范围及工作内容</w:t>
      </w:r>
      <w:bookmarkEnd w:id="10"/>
      <w:bookmarkEnd w:id="11"/>
      <w:bookmarkEnd w:id="12"/>
      <w:bookmarkEnd w:id="13"/>
      <w:bookmarkEnd w:id="14"/>
    </w:p>
    <w:p w14:paraId="79393A7C">
      <w:pPr>
        <w:pStyle w:val="307"/>
        <w:keepNext w:val="0"/>
        <w:keepLines w:val="0"/>
        <w:pageBreakBefore w:val="0"/>
        <w:widowControl w:val="0"/>
        <w:kinsoku/>
        <w:wordWrap/>
        <w:overflowPunct/>
        <w:topLinePunct w:val="0"/>
        <w:bidi w:val="0"/>
        <w:snapToGrid/>
        <w:spacing w:line="500" w:lineRule="exact"/>
        <w:ind w:firstLine="480" w:firstLineChars="200"/>
        <w:jc w:val="left"/>
        <w:rPr>
          <w:rFonts w:hint="eastAsia" w:ascii="宋体" w:hAnsi="宋体" w:eastAsia="宋体" w:cs="宋体"/>
          <w:color w:val="auto"/>
          <w:sz w:val="24"/>
          <w:szCs w:val="24"/>
          <w:u w:val="single"/>
          <w:lang w:val="en-US" w:eastAsia="zh-CN" w:bidi="ar-SA"/>
        </w:rPr>
      </w:pPr>
      <w:r>
        <w:rPr>
          <w:rFonts w:hint="eastAsia" w:ascii="宋体" w:hAnsi="宋体" w:eastAsia="宋体" w:cs="宋体"/>
          <w:color w:val="auto"/>
          <w:sz w:val="24"/>
          <w:szCs w:val="24"/>
        </w:rPr>
        <w:t>双方约定的服务范围及工作内容：</w:t>
      </w:r>
      <w:r>
        <w:rPr>
          <w:rFonts w:hint="eastAsia" w:ascii="宋体" w:hAnsi="宋体" w:eastAsia="宋体" w:cs="宋体"/>
          <w:color w:val="auto"/>
          <w:sz w:val="24"/>
          <w:szCs w:val="24"/>
          <w:u w:val="single"/>
          <w:lang w:val="en-US" w:eastAsia="zh-CN" w:bidi="ar-SA"/>
        </w:rPr>
        <w:t>对陕西省渭南市渭北地区固沟保塬生态保护修复项目（2024年）开展二次验收（阶段性验收及竣工验收）：1.阶段性验收时间为施工任务完成，经过一个生长季，对各施工标段完成工程进行现地验收，并审核各施工标段报送的完整工程资料和自查报告，编制阶段性验收报告。2.竣工验收为管护期满，对各施工标段完成工程进行现地验收，并审核各施工标段报送的工程量及结算价款，编制竣工验收报告、结算审核报告及竣工决算报告。</w:t>
      </w:r>
    </w:p>
    <w:p w14:paraId="1187387F">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Fonts w:hint="eastAsia" w:ascii="宋体" w:hAnsi="宋体" w:eastAsia="宋体" w:cs="宋体"/>
          <w:color w:val="auto"/>
          <w:sz w:val="24"/>
          <w:szCs w:val="24"/>
        </w:rPr>
      </w:pPr>
      <w:bookmarkStart w:id="15" w:name="_Toc26233"/>
      <w:bookmarkStart w:id="16" w:name="_Toc419045060"/>
      <w:bookmarkStart w:id="17" w:name="_Toc27200"/>
      <w:bookmarkStart w:id="18" w:name="_Toc467877791"/>
      <w:bookmarkStart w:id="19" w:name="_Toc5561"/>
      <w:bookmarkStart w:id="20" w:name="9"/>
      <w:r>
        <w:rPr>
          <w:rFonts w:hint="eastAsia" w:ascii="宋体" w:hAnsi="宋体" w:eastAsia="宋体" w:cs="宋体"/>
          <w:color w:val="auto"/>
          <w:sz w:val="24"/>
          <w:szCs w:val="24"/>
        </w:rPr>
        <w:t>三、服务期限</w:t>
      </w:r>
      <w:bookmarkEnd w:id="15"/>
      <w:bookmarkEnd w:id="16"/>
      <w:bookmarkEnd w:id="17"/>
      <w:bookmarkEnd w:id="18"/>
      <w:bookmarkEnd w:id="19"/>
    </w:p>
    <w:bookmarkEnd w:id="20"/>
    <w:p w14:paraId="36F1F597">
      <w:pPr>
        <w:pStyle w:val="307"/>
        <w:keepNext w:val="0"/>
        <w:keepLines w:val="0"/>
        <w:pageBreakBefore w:val="0"/>
        <w:widowControl w:val="0"/>
        <w:kinsoku/>
        <w:wordWrap/>
        <w:overflowPunct/>
        <w:topLinePunct w:val="0"/>
        <w:bidi w:val="0"/>
        <w:snapToGrid/>
        <w:spacing w:line="500" w:lineRule="exact"/>
        <w:ind w:firstLine="480" w:firstLineChars="200"/>
        <w:jc w:val="left"/>
        <w:rPr>
          <w:rFonts w:hint="eastAsia" w:ascii="宋体" w:hAnsi="宋体" w:eastAsia="宋体" w:cs="宋体"/>
          <w:color w:val="auto"/>
          <w:sz w:val="24"/>
          <w:szCs w:val="24"/>
        </w:rPr>
      </w:pPr>
      <w:bookmarkStart w:id="21" w:name="_Toc419045061"/>
      <w:r>
        <w:rPr>
          <w:rFonts w:hint="eastAsia" w:ascii="宋体" w:hAnsi="宋体" w:eastAsia="宋体" w:cs="宋体"/>
          <w:color w:val="auto"/>
          <w:sz w:val="24"/>
          <w:szCs w:val="24"/>
        </w:rPr>
        <w:t>本合同</w:t>
      </w:r>
      <w:r>
        <w:rPr>
          <w:rFonts w:hint="eastAsia" w:ascii="宋体" w:hAnsi="宋体" w:eastAsia="宋体" w:cs="宋体"/>
          <w:color w:val="auto"/>
          <w:sz w:val="24"/>
          <w:szCs w:val="24"/>
          <w:lang w:eastAsia="zh-CN"/>
        </w:rPr>
        <w:t>服务期限</w:t>
      </w:r>
      <w:r>
        <w:rPr>
          <w:rFonts w:hint="eastAsia" w:ascii="宋体" w:hAnsi="宋体" w:eastAsia="宋体" w:cs="宋体"/>
          <w:color w:val="auto"/>
          <w:sz w:val="24"/>
          <w:szCs w:val="24"/>
        </w:rPr>
        <w:t>自</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日开始实施，</w:t>
      </w:r>
      <w:r>
        <w:rPr>
          <w:rFonts w:hint="eastAsia" w:ascii="宋体" w:hAnsi="宋体" w:eastAsia="宋体" w:cs="宋体"/>
          <w:color w:val="auto"/>
          <w:sz w:val="24"/>
          <w:szCs w:val="24"/>
          <w:lang w:eastAsia="zh-CN"/>
        </w:rPr>
        <w:t>在委托人要求期限内完成，每次验收服务期含施工单位整改补充阶段</w:t>
      </w:r>
      <w:r>
        <w:rPr>
          <w:rFonts w:hint="eastAsia" w:ascii="宋体" w:hAnsi="宋体" w:eastAsia="宋体" w:cs="宋体"/>
          <w:color w:val="auto"/>
          <w:sz w:val="24"/>
          <w:szCs w:val="24"/>
        </w:rPr>
        <w:t>。</w:t>
      </w:r>
    </w:p>
    <w:p w14:paraId="446F5FD2">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Fonts w:hint="eastAsia" w:ascii="宋体" w:hAnsi="宋体" w:eastAsia="宋体" w:cs="宋体"/>
          <w:color w:val="auto"/>
          <w:sz w:val="24"/>
          <w:szCs w:val="24"/>
        </w:rPr>
      </w:pPr>
      <w:bookmarkStart w:id="22" w:name="_Toc8509"/>
      <w:bookmarkStart w:id="23" w:name="_Toc19881"/>
      <w:bookmarkStart w:id="24" w:name="_Toc5228"/>
      <w:bookmarkStart w:id="25" w:name="_Toc467877792"/>
      <w:r>
        <w:rPr>
          <w:rFonts w:hint="eastAsia" w:ascii="宋体" w:hAnsi="宋体" w:eastAsia="宋体" w:cs="宋体"/>
          <w:color w:val="auto"/>
          <w:sz w:val="24"/>
          <w:szCs w:val="24"/>
        </w:rPr>
        <w:t>四、质量标准</w:t>
      </w:r>
      <w:bookmarkEnd w:id="21"/>
      <w:bookmarkEnd w:id="22"/>
      <w:bookmarkEnd w:id="23"/>
      <w:bookmarkEnd w:id="24"/>
      <w:bookmarkEnd w:id="25"/>
    </w:p>
    <w:p w14:paraId="7A488D0D">
      <w:pPr>
        <w:keepNext w:val="0"/>
        <w:keepLines w:val="0"/>
        <w:pageBreakBefore w:val="0"/>
        <w:widowControl w:val="0"/>
        <w:kinsoku/>
        <w:wordWrap/>
        <w:overflowPunct/>
        <w:topLinePunct w:val="0"/>
        <w:bidi w:val="0"/>
        <w:snapToGrid/>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工程造价咨询成果文件应符合：</w:t>
      </w:r>
      <w:r>
        <w:rPr>
          <w:rFonts w:hint="eastAsia" w:ascii="宋体" w:hAnsi="宋体" w:eastAsia="宋体" w:cs="宋体"/>
          <w:color w:val="auto"/>
          <w:sz w:val="24"/>
          <w:szCs w:val="24"/>
          <w:u w:val="single"/>
          <w:lang w:eastAsia="zh-CN"/>
        </w:rPr>
        <w:t>中价协[2012]011号《建设工程造价咨询成果文件质量标准》等国家、行业及地方相关标准及要求，验收服务达到委托人要求。</w:t>
      </w:r>
    </w:p>
    <w:p w14:paraId="0055CC36">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Fonts w:hint="eastAsia" w:ascii="宋体" w:hAnsi="宋体" w:eastAsia="宋体" w:cs="宋体"/>
          <w:color w:val="auto"/>
          <w:sz w:val="24"/>
          <w:szCs w:val="24"/>
        </w:rPr>
      </w:pPr>
      <w:bookmarkStart w:id="26" w:name="_Toc31258"/>
      <w:bookmarkStart w:id="27" w:name="_Toc24473"/>
      <w:bookmarkStart w:id="28" w:name="_Toc419045062"/>
      <w:bookmarkStart w:id="29" w:name="_Toc28465"/>
      <w:bookmarkStart w:id="30" w:name="_Toc467877793"/>
      <w:bookmarkStart w:id="31" w:name="12"/>
      <w:r>
        <w:rPr>
          <w:rFonts w:hint="eastAsia" w:ascii="宋体" w:hAnsi="宋体" w:eastAsia="宋体" w:cs="宋体"/>
          <w:color w:val="auto"/>
          <w:sz w:val="24"/>
          <w:szCs w:val="24"/>
        </w:rPr>
        <w:t>五、酬金或计取方式</w:t>
      </w:r>
      <w:bookmarkEnd w:id="26"/>
      <w:bookmarkEnd w:id="27"/>
      <w:bookmarkEnd w:id="28"/>
      <w:bookmarkEnd w:id="29"/>
      <w:bookmarkEnd w:id="30"/>
    </w:p>
    <w:p w14:paraId="48707575">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rPr>
          <w:rFonts w:hint="eastAsia" w:ascii="宋体" w:hAnsi="宋体" w:eastAsia="宋体" w:cs="宋体"/>
          <w:color w:val="auto"/>
          <w:sz w:val="24"/>
          <w:szCs w:val="24"/>
          <w:u w:val="none"/>
          <w:lang w:val="en-US" w:eastAsia="zh-CN"/>
        </w:rPr>
      </w:pPr>
      <w:bookmarkStart w:id="32" w:name="_Toc419045058"/>
      <w:r>
        <w:rPr>
          <w:rFonts w:hint="eastAsia" w:ascii="宋体" w:hAnsi="宋体" w:eastAsia="宋体" w:cs="宋体"/>
          <w:color w:val="auto"/>
          <w:sz w:val="24"/>
          <w:szCs w:val="24"/>
          <w:lang w:eastAsia="zh-CN"/>
        </w:rPr>
        <w:t>计取方式</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合同总价为            元整（￥        .00元）（中标价），</w:t>
      </w:r>
      <w:r>
        <w:rPr>
          <w:rFonts w:hint="eastAsia" w:ascii="宋体" w:hAnsi="宋体" w:eastAsia="宋体" w:cs="宋体"/>
          <w:color w:val="auto"/>
          <w:sz w:val="24"/>
          <w:szCs w:val="24"/>
          <w:u w:val="none"/>
          <w:lang w:val="en-US" w:eastAsia="zh-CN"/>
        </w:rPr>
        <w:t>由委托人支付。包括：</w:t>
      </w:r>
    </w:p>
    <w:p w14:paraId="354C0738">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1.验收酬金：</w:t>
      </w:r>
      <w:r>
        <w:rPr>
          <w:rFonts w:hint="eastAsia" w:ascii="宋体" w:hAnsi="宋体" w:eastAsia="宋体" w:cs="宋体"/>
          <w:color w:val="auto"/>
          <w:sz w:val="24"/>
          <w:szCs w:val="24"/>
          <w:u w:val="single"/>
          <w:lang w:val="en-US" w:eastAsia="zh-CN"/>
        </w:rPr>
        <w:t xml:space="preserve">            元整（￥        .00元）</w:t>
      </w:r>
      <w:r>
        <w:rPr>
          <w:rFonts w:hint="eastAsia" w:ascii="宋体" w:hAnsi="宋体" w:eastAsia="宋体" w:cs="宋体"/>
          <w:color w:val="auto"/>
          <w:sz w:val="24"/>
          <w:szCs w:val="24"/>
          <w:u w:val="none"/>
          <w:lang w:val="en-US" w:eastAsia="zh-CN"/>
        </w:rPr>
        <w:t>。</w:t>
      </w:r>
    </w:p>
    <w:p w14:paraId="46EF50F4">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2.结算审核酬金：</w:t>
      </w:r>
      <w:r>
        <w:rPr>
          <w:rFonts w:hint="eastAsia" w:ascii="宋体" w:hAnsi="宋体" w:eastAsia="宋体" w:cs="宋体"/>
          <w:color w:val="auto"/>
          <w:sz w:val="24"/>
          <w:szCs w:val="24"/>
          <w:u w:val="single"/>
          <w:lang w:val="en-US" w:eastAsia="zh-CN"/>
        </w:rPr>
        <w:t xml:space="preserve">            元整（￥    .00元）</w:t>
      </w:r>
      <w:r>
        <w:rPr>
          <w:rFonts w:hint="eastAsia" w:ascii="宋体" w:hAnsi="宋体" w:eastAsia="宋体" w:cs="宋体"/>
          <w:color w:val="auto"/>
          <w:sz w:val="24"/>
          <w:szCs w:val="24"/>
          <w:u w:val="none"/>
          <w:lang w:val="en-US" w:eastAsia="zh-CN"/>
        </w:rPr>
        <w:t>，结算审核费费率为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。最终结算审核费支付=成交结算审核费费率×审定价。</w:t>
      </w:r>
    </w:p>
    <w:p w14:paraId="73BCC7BF">
      <w:pPr>
        <w:pStyle w:val="307"/>
        <w:keepNext w:val="0"/>
        <w:keepLines w:val="0"/>
        <w:pageBreakBefore w:val="0"/>
        <w:widowControl w:val="0"/>
        <w:kinsoku/>
        <w:wordWrap/>
        <w:overflowPunct/>
        <w:topLinePunct w:val="0"/>
        <w:bidi w:val="0"/>
        <w:snapToGrid/>
        <w:spacing w:line="500" w:lineRule="exact"/>
        <w:ind w:left="482"/>
        <w:jc w:val="left"/>
        <w:rPr>
          <w:rStyle w:val="308"/>
          <w:rFonts w:hint="eastAsia" w:ascii="宋体" w:hAnsi="宋体" w:eastAsia="宋体" w:cs="宋体"/>
          <w:color w:val="auto"/>
          <w:sz w:val="24"/>
          <w:szCs w:val="24"/>
        </w:rPr>
      </w:pPr>
      <w:bookmarkStart w:id="33" w:name="_Toc467877794"/>
      <w:bookmarkStart w:id="34" w:name="_Toc10607"/>
      <w:bookmarkStart w:id="35" w:name="_Toc6140"/>
      <w:bookmarkStart w:id="36" w:name="_Toc14785"/>
      <w:r>
        <w:rPr>
          <w:rStyle w:val="308"/>
          <w:rFonts w:hint="eastAsia" w:ascii="宋体" w:hAnsi="宋体" w:eastAsia="宋体" w:cs="宋体"/>
          <w:color w:val="auto"/>
          <w:sz w:val="24"/>
          <w:szCs w:val="24"/>
        </w:rPr>
        <w:t>六、合同文件的构成</w:t>
      </w:r>
      <w:bookmarkEnd w:id="32"/>
      <w:bookmarkEnd w:id="33"/>
    </w:p>
    <w:bookmarkEnd w:id="34"/>
    <w:bookmarkEnd w:id="35"/>
    <w:bookmarkEnd w:id="36"/>
    <w:p w14:paraId="7262294C">
      <w:pPr>
        <w:pStyle w:val="307"/>
        <w:keepNext w:val="0"/>
        <w:keepLines w:val="0"/>
        <w:pageBreakBefore w:val="0"/>
        <w:widowControl w:val="0"/>
        <w:kinsoku/>
        <w:wordWrap/>
        <w:overflowPunct/>
        <w:topLinePunct w:val="0"/>
        <w:bidi w:val="0"/>
        <w:snapToGrid/>
        <w:spacing w:line="500" w:lineRule="exact"/>
        <w:ind w:left="482"/>
        <w:jc w:val="left"/>
        <w:rPr>
          <w:rFonts w:hint="eastAsia" w:ascii="宋体" w:hAnsi="宋体" w:eastAsia="宋体" w:cs="宋体"/>
          <w:color w:val="auto"/>
          <w:sz w:val="24"/>
          <w:szCs w:val="24"/>
        </w:rPr>
      </w:pPr>
      <w:r>
        <w:rPr>
          <w:rFonts w:hint="eastAsia" w:ascii="宋体" w:hAnsi="宋体" w:eastAsia="宋体" w:cs="宋体"/>
          <w:color w:val="auto"/>
          <w:sz w:val="24"/>
          <w:szCs w:val="24"/>
        </w:rPr>
        <w:t>本协议书与下列文件一起构成合同文件:</w:t>
      </w:r>
    </w:p>
    <w:p w14:paraId="704560E4">
      <w:pPr>
        <w:pStyle w:val="307"/>
        <w:keepNext w:val="0"/>
        <w:keepLines w:val="0"/>
        <w:pageBreakBefore w:val="0"/>
        <w:widowControl w:val="0"/>
        <w:kinsoku/>
        <w:wordWrap/>
        <w:overflowPunct/>
        <w:topLinePunct w:val="0"/>
        <w:bidi w:val="0"/>
        <w:snapToGrid/>
        <w:spacing w:line="500" w:lineRule="exact"/>
        <w:ind w:left="481"/>
        <w:jc w:val="left"/>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6FEC34A9">
      <w:pPr>
        <w:pStyle w:val="307"/>
        <w:keepNext w:val="0"/>
        <w:keepLines w:val="0"/>
        <w:pageBreakBefore w:val="0"/>
        <w:widowControl w:val="0"/>
        <w:kinsoku/>
        <w:wordWrap/>
        <w:overflowPunct/>
        <w:topLinePunct w:val="0"/>
        <w:bidi w:val="0"/>
        <w:snapToGrid/>
        <w:spacing w:line="500" w:lineRule="exact"/>
        <w:ind w:left="481"/>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lang w:val="en-US" w:eastAsia="zh-CN"/>
        </w:rPr>
        <w:t>文件</w:t>
      </w:r>
      <w:r>
        <w:rPr>
          <w:rFonts w:hint="eastAsia" w:ascii="宋体" w:hAnsi="宋体" w:eastAsia="宋体" w:cs="宋体"/>
          <w:color w:val="auto"/>
          <w:sz w:val="24"/>
          <w:szCs w:val="24"/>
        </w:rPr>
        <w:t>；</w:t>
      </w:r>
    </w:p>
    <w:p w14:paraId="04AD022C">
      <w:pPr>
        <w:pStyle w:val="307"/>
        <w:keepNext w:val="0"/>
        <w:keepLines w:val="0"/>
        <w:pageBreakBefore w:val="0"/>
        <w:widowControl w:val="0"/>
        <w:kinsoku/>
        <w:wordWrap/>
        <w:overflowPunct/>
        <w:topLinePunct w:val="0"/>
        <w:bidi w:val="0"/>
        <w:snapToGrid/>
        <w:spacing w:line="500" w:lineRule="exact"/>
        <w:ind w:left="481"/>
        <w:jc w:val="left"/>
        <w:rPr>
          <w:rFonts w:hint="eastAsia" w:ascii="宋体" w:hAnsi="宋体" w:eastAsia="宋体" w:cs="宋体"/>
          <w:color w:val="auto"/>
          <w:sz w:val="24"/>
          <w:szCs w:val="24"/>
        </w:rPr>
      </w:pPr>
      <w:r>
        <w:rPr>
          <w:rFonts w:hint="eastAsia" w:ascii="宋体" w:hAnsi="宋体" w:eastAsia="宋体" w:cs="宋体"/>
          <w:color w:val="auto"/>
          <w:sz w:val="24"/>
          <w:szCs w:val="24"/>
        </w:rPr>
        <w:t>3.专用条件及附录；</w:t>
      </w:r>
    </w:p>
    <w:p w14:paraId="69984974">
      <w:pPr>
        <w:pStyle w:val="307"/>
        <w:keepNext w:val="0"/>
        <w:keepLines w:val="0"/>
        <w:pageBreakBefore w:val="0"/>
        <w:widowControl w:val="0"/>
        <w:kinsoku/>
        <w:wordWrap/>
        <w:overflowPunct/>
        <w:topLinePunct w:val="0"/>
        <w:bidi w:val="0"/>
        <w:snapToGrid/>
        <w:spacing w:line="500" w:lineRule="exact"/>
        <w:ind w:left="481"/>
        <w:jc w:val="left"/>
        <w:rPr>
          <w:rFonts w:hint="eastAsia" w:ascii="宋体" w:hAnsi="宋体" w:eastAsia="宋体" w:cs="宋体"/>
          <w:color w:val="auto"/>
          <w:sz w:val="24"/>
          <w:szCs w:val="24"/>
        </w:rPr>
      </w:pPr>
      <w:r>
        <w:rPr>
          <w:rFonts w:hint="eastAsia" w:ascii="宋体" w:hAnsi="宋体" w:eastAsia="宋体" w:cs="宋体"/>
          <w:color w:val="auto"/>
          <w:sz w:val="24"/>
          <w:szCs w:val="24"/>
        </w:rPr>
        <w:t>4.通用条件；</w:t>
      </w:r>
    </w:p>
    <w:p w14:paraId="7A1667A1">
      <w:pPr>
        <w:pStyle w:val="307"/>
        <w:keepNext w:val="0"/>
        <w:keepLines w:val="0"/>
        <w:pageBreakBefore w:val="0"/>
        <w:widowControl w:val="0"/>
        <w:kinsoku/>
        <w:wordWrap/>
        <w:overflowPunct/>
        <w:topLinePunct w:val="0"/>
        <w:bidi w:val="0"/>
        <w:snapToGrid/>
        <w:spacing w:line="500" w:lineRule="exact"/>
        <w:ind w:left="481"/>
        <w:jc w:val="left"/>
        <w:rPr>
          <w:rFonts w:hint="eastAsia" w:ascii="宋体" w:hAnsi="宋体" w:eastAsia="宋体" w:cs="宋体"/>
          <w:color w:val="auto"/>
          <w:sz w:val="24"/>
          <w:szCs w:val="24"/>
        </w:rPr>
      </w:pPr>
      <w:r>
        <w:rPr>
          <w:rFonts w:hint="eastAsia" w:ascii="宋体" w:hAnsi="宋体" w:eastAsia="宋体" w:cs="宋体"/>
          <w:color w:val="auto"/>
          <w:sz w:val="24"/>
          <w:szCs w:val="24"/>
        </w:rPr>
        <w:t>5.其他合同文件。</w:t>
      </w:r>
    </w:p>
    <w:p w14:paraId="4FA65D0B">
      <w:pPr>
        <w:pStyle w:val="307"/>
        <w:keepNext w:val="0"/>
        <w:keepLines w:val="0"/>
        <w:pageBreakBefore w:val="0"/>
        <w:widowControl w:val="0"/>
        <w:kinsoku/>
        <w:wordWrap/>
        <w:overflowPunct/>
        <w:topLinePunct w:val="0"/>
        <w:bidi w:val="0"/>
        <w:snapToGrid/>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上述各项合同文件包括合同当事人就该项合同文件所作出的补充和修改，属于同一类内容的文件，应以最新签署的为准。</w:t>
      </w:r>
    </w:p>
    <w:p w14:paraId="51859DAC">
      <w:pPr>
        <w:pStyle w:val="307"/>
        <w:keepNext w:val="0"/>
        <w:keepLines w:val="0"/>
        <w:pageBreakBefore w:val="0"/>
        <w:widowControl w:val="0"/>
        <w:kinsoku/>
        <w:wordWrap/>
        <w:overflowPunct/>
        <w:topLinePunct w:val="0"/>
        <w:bidi w:val="0"/>
        <w:snapToGrid/>
        <w:spacing w:line="500" w:lineRule="exact"/>
        <w:ind w:firstLine="480" w:firstLineChars="200"/>
        <w:jc w:val="left"/>
        <w:rPr>
          <w:rFonts w:hint="eastAsia" w:ascii="宋体" w:hAnsi="宋体" w:eastAsia="宋体" w:cs="宋体"/>
          <w:bCs/>
          <w:smallCaps/>
          <w:color w:val="auto"/>
          <w:sz w:val="24"/>
          <w:szCs w:val="24"/>
        </w:rPr>
      </w:pPr>
      <w:r>
        <w:rPr>
          <w:rFonts w:hint="eastAsia" w:ascii="宋体" w:hAnsi="宋体" w:eastAsia="宋体" w:cs="宋体"/>
          <w:color w:val="auto"/>
          <w:sz w:val="24"/>
          <w:szCs w:val="24"/>
        </w:rPr>
        <w:t>在合同订立及履行过程中形成的与合同有关的文件（包括补充协议）均构成合同文件的组成部分。</w:t>
      </w:r>
    </w:p>
    <w:p w14:paraId="339B333C">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Style w:val="308"/>
          <w:rFonts w:hint="eastAsia" w:ascii="宋体" w:hAnsi="宋体" w:eastAsia="宋体" w:cs="宋体"/>
          <w:b/>
          <w:color w:val="auto"/>
          <w:sz w:val="24"/>
          <w:szCs w:val="24"/>
        </w:rPr>
      </w:pPr>
      <w:bookmarkStart w:id="37" w:name="_Toc419045057"/>
      <w:bookmarkStart w:id="38" w:name="_Toc467877795"/>
      <w:bookmarkStart w:id="39" w:name="_Toc10564"/>
      <w:bookmarkStart w:id="40" w:name="_Toc2051"/>
      <w:bookmarkStart w:id="41" w:name="_Toc25444"/>
      <w:r>
        <w:rPr>
          <w:rStyle w:val="308"/>
          <w:rFonts w:hint="eastAsia" w:ascii="宋体" w:hAnsi="宋体" w:eastAsia="宋体" w:cs="宋体"/>
          <w:b/>
          <w:color w:val="auto"/>
          <w:sz w:val="24"/>
          <w:szCs w:val="24"/>
        </w:rPr>
        <w:t>七、</w:t>
      </w:r>
      <w:bookmarkStart w:id="42" w:name="8"/>
      <w:r>
        <w:rPr>
          <w:rStyle w:val="308"/>
          <w:rFonts w:hint="eastAsia" w:ascii="宋体" w:hAnsi="宋体" w:eastAsia="宋体" w:cs="宋体"/>
          <w:b/>
          <w:color w:val="auto"/>
          <w:sz w:val="24"/>
          <w:szCs w:val="24"/>
        </w:rPr>
        <w:t>词语</w:t>
      </w:r>
      <w:bookmarkEnd w:id="37"/>
      <w:r>
        <w:rPr>
          <w:rStyle w:val="308"/>
          <w:rFonts w:hint="eastAsia" w:ascii="宋体" w:hAnsi="宋体" w:eastAsia="宋体" w:cs="宋体"/>
          <w:b/>
          <w:color w:val="auto"/>
          <w:sz w:val="24"/>
          <w:szCs w:val="24"/>
        </w:rPr>
        <w:t>定义</w:t>
      </w:r>
      <w:bookmarkEnd w:id="38"/>
      <w:bookmarkEnd w:id="39"/>
      <w:bookmarkEnd w:id="40"/>
      <w:bookmarkEnd w:id="41"/>
    </w:p>
    <w:p w14:paraId="4DC17DE6">
      <w:pPr>
        <w:keepNext w:val="0"/>
        <w:keepLines w:val="0"/>
        <w:pageBreakBefore w:val="0"/>
        <w:widowControl w:val="0"/>
        <w:kinsoku/>
        <w:wordWrap/>
        <w:overflowPunct/>
        <w:topLinePunct w:val="0"/>
        <w:bidi w:val="0"/>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协议书中相关词语的含义与通用条件中的定义与解释相同。</w:t>
      </w:r>
      <w:bookmarkEnd w:id="42"/>
    </w:p>
    <w:p w14:paraId="3EC49A22">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Fonts w:hint="eastAsia" w:ascii="宋体" w:hAnsi="宋体" w:eastAsia="宋体" w:cs="宋体"/>
          <w:color w:val="auto"/>
          <w:sz w:val="24"/>
          <w:szCs w:val="24"/>
        </w:rPr>
      </w:pPr>
      <w:bookmarkStart w:id="43" w:name="_Toc29116"/>
      <w:bookmarkStart w:id="44" w:name="_Toc467877796"/>
      <w:bookmarkStart w:id="45" w:name="_Toc13178"/>
      <w:bookmarkStart w:id="46" w:name="_Toc9731"/>
      <w:bookmarkStart w:id="47" w:name="_Toc419045063"/>
      <w:r>
        <w:rPr>
          <w:rFonts w:hint="eastAsia" w:ascii="宋体" w:hAnsi="宋体" w:eastAsia="宋体" w:cs="宋体"/>
          <w:color w:val="auto"/>
          <w:sz w:val="24"/>
          <w:szCs w:val="24"/>
        </w:rPr>
        <w:t>八、合同订立</w:t>
      </w:r>
      <w:bookmarkEnd w:id="43"/>
      <w:bookmarkEnd w:id="44"/>
      <w:bookmarkEnd w:id="45"/>
      <w:bookmarkEnd w:id="46"/>
      <w:bookmarkEnd w:id="47"/>
    </w:p>
    <w:p w14:paraId="7E8834F7">
      <w:pPr>
        <w:keepNext w:val="0"/>
        <w:keepLines w:val="0"/>
        <w:pageBreakBefore w:val="0"/>
        <w:widowControl w:val="0"/>
        <w:kinsoku/>
        <w:wordWrap/>
        <w:overflowPunct/>
        <w:topLinePunct w:val="0"/>
        <w:bidi w:val="0"/>
        <w:snapToGrid/>
        <w:spacing w:line="500" w:lineRule="exact"/>
        <w:ind w:firstLine="480" w:firstLineChars="200"/>
        <w:rPr>
          <w:rFonts w:hint="eastAsia" w:ascii="宋体" w:hAnsi="宋体" w:eastAsia="宋体" w:cs="宋体"/>
          <w:color w:val="auto"/>
          <w:sz w:val="24"/>
          <w:szCs w:val="24"/>
          <w:u w:val="single"/>
        </w:rPr>
      </w:pPr>
      <w:bookmarkStart w:id="48" w:name="_Toc419045064"/>
      <w:r>
        <w:rPr>
          <w:rFonts w:hint="eastAsia" w:ascii="宋体" w:hAnsi="宋体" w:eastAsia="宋体" w:cs="宋体"/>
          <w:color w:val="auto"/>
          <w:sz w:val="24"/>
          <w:szCs w:val="24"/>
        </w:rPr>
        <w:t>1.订立时间：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年  月   日。</w:t>
      </w:r>
    </w:p>
    <w:p w14:paraId="7EA354C2">
      <w:pPr>
        <w:keepNext w:val="0"/>
        <w:keepLines w:val="0"/>
        <w:pageBreakBefore w:val="0"/>
        <w:widowControl w:val="0"/>
        <w:kinsoku/>
        <w:wordWrap/>
        <w:overflowPunct/>
        <w:topLinePunct w:val="0"/>
        <w:bidi w:val="0"/>
        <w:snapToGrid/>
        <w:spacing w:line="500" w:lineRule="exact"/>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2.订立地点：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陕西省渭南市</w:t>
      </w:r>
      <w:r>
        <w:rPr>
          <w:rFonts w:hint="eastAsia" w:ascii="宋体" w:hAnsi="宋体" w:eastAsia="宋体" w:cs="宋体"/>
          <w:color w:val="auto"/>
          <w:sz w:val="24"/>
          <w:szCs w:val="24"/>
          <w:u w:val="single"/>
        </w:rPr>
        <w:t xml:space="preserve"> 。</w:t>
      </w:r>
    </w:p>
    <w:p w14:paraId="21D64097">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Fonts w:hint="eastAsia" w:ascii="宋体" w:hAnsi="宋体" w:eastAsia="宋体" w:cs="宋体"/>
          <w:color w:val="auto"/>
          <w:sz w:val="24"/>
          <w:szCs w:val="24"/>
        </w:rPr>
      </w:pPr>
      <w:bookmarkStart w:id="49" w:name="_Toc7718"/>
      <w:bookmarkStart w:id="50" w:name="_Toc14084"/>
      <w:bookmarkStart w:id="51" w:name="_Toc467877797"/>
      <w:bookmarkStart w:id="52" w:name="_Toc19726"/>
      <w:r>
        <w:rPr>
          <w:rFonts w:hint="eastAsia" w:ascii="宋体" w:hAnsi="宋体" w:eastAsia="宋体" w:cs="宋体"/>
          <w:color w:val="auto"/>
          <w:sz w:val="24"/>
          <w:szCs w:val="24"/>
        </w:rPr>
        <w:t>九、合同生效</w:t>
      </w:r>
      <w:bookmarkEnd w:id="48"/>
      <w:bookmarkEnd w:id="49"/>
      <w:bookmarkEnd w:id="50"/>
      <w:bookmarkEnd w:id="51"/>
      <w:bookmarkEnd w:id="52"/>
    </w:p>
    <w:p w14:paraId="27010E85">
      <w:pPr>
        <w:pStyle w:val="307"/>
        <w:keepNext w:val="0"/>
        <w:keepLines w:val="0"/>
        <w:pageBreakBefore w:val="0"/>
        <w:widowControl w:val="0"/>
        <w:kinsoku/>
        <w:wordWrap/>
        <w:overflowPunct/>
        <w:topLinePunct w:val="0"/>
        <w:bidi w:val="0"/>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本合同自</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签字盖章之日起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生效。</w:t>
      </w:r>
    </w:p>
    <w:p w14:paraId="4F189035">
      <w:pPr>
        <w:pStyle w:val="47"/>
        <w:keepNext w:val="0"/>
        <w:keepLines w:val="0"/>
        <w:pageBreakBefore w:val="0"/>
        <w:widowControl w:val="0"/>
        <w:kinsoku/>
        <w:wordWrap/>
        <w:overflowPunct/>
        <w:topLinePunct w:val="0"/>
        <w:bidi w:val="0"/>
        <w:snapToGrid/>
        <w:spacing w:before="0" w:after="0" w:line="500" w:lineRule="exact"/>
        <w:ind w:firstLine="482" w:firstLineChars="200"/>
        <w:jc w:val="left"/>
        <w:rPr>
          <w:rFonts w:hint="eastAsia" w:ascii="宋体" w:hAnsi="宋体" w:eastAsia="宋体" w:cs="宋体"/>
          <w:color w:val="auto"/>
          <w:sz w:val="24"/>
          <w:szCs w:val="24"/>
        </w:rPr>
      </w:pPr>
      <w:bookmarkStart w:id="53" w:name="_Toc467877798"/>
      <w:bookmarkStart w:id="54" w:name="_Toc8195"/>
      <w:bookmarkStart w:id="55" w:name="_Toc3823"/>
      <w:bookmarkStart w:id="56" w:name="_Toc13034"/>
      <w:bookmarkStart w:id="57" w:name="_Toc419045065"/>
      <w:r>
        <w:rPr>
          <w:rFonts w:hint="eastAsia" w:ascii="宋体" w:hAnsi="宋体" w:eastAsia="宋体" w:cs="宋体"/>
          <w:color w:val="auto"/>
          <w:sz w:val="24"/>
          <w:szCs w:val="24"/>
        </w:rPr>
        <w:t>十、合同份数</w:t>
      </w:r>
      <w:bookmarkEnd w:id="53"/>
      <w:bookmarkEnd w:id="54"/>
      <w:bookmarkEnd w:id="55"/>
      <w:bookmarkEnd w:id="56"/>
      <w:bookmarkEnd w:id="57"/>
    </w:p>
    <w:p w14:paraId="4EA3BDB0">
      <w:pPr>
        <w:pStyle w:val="307"/>
        <w:keepNext w:val="0"/>
        <w:keepLines w:val="0"/>
        <w:pageBreakBefore w:val="0"/>
        <w:widowControl w:val="0"/>
        <w:kinsoku/>
        <w:wordWrap/>
        <w:overflowPunct/>
        <w:topLinePunct w:val="0"/>
        <w:bidi w:val="0"/>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b/>
          <w:bCs/>
          <w:color w:val="auto"/>
          <w:sz w:val="24"/>
          <w:szCs w:val="24"/>
          <w:u w:val="single"/>
          <w:lang w:eastAsia="zh-CN"/>
        </w:rPr>
        <w:t>陆</w:t>
      </w:r>
      <w:r>
        <w:rPr>
          <w:rFonts w:hint="eastAsia" w:ascii="宋体" w:hAnsi="宋体" w:eastAsia="宋体" w:cs="宋体"/>
          <w:color w:val="auto"/>
          <w:sz w:val="24"/>
          <w:szCs w:val="24"/>
        </w:rPr>
        <w:t>份，具有同等法律效力，其中委托人执</w:t>
      </w:r>
      <w:r>
        <w:rPr>
          <w:rFonts w:hint="eastAsia" w:ascii="宋体" w:hAnsi="宋体" w:eastAsia="宋体" w:cs="宋体"/>
          <w:color w:val="auto"/>
          <w:sz w:val="24"/>
          <w:szCs w:val="24"/>
          <w:u w:val="single"/>
        </w:rPr>
        <w:t xml:space="preserve"> </w:t>
      </w:r>
      <w:r>
        <w:rPr>
          <w:rFonts w:hint="eastAsia" w:ascii="宋体" w:hAnsi="宋体" w:eastAsia="宋体" w:cs="宋体"/>
          <w:b/>
          <w:bCs/>
          <w:color w:val="auto"/>
          <w:sz w:val="24"/>
          <w:szCs w:val="24"/>
          <w:u w:val="single"/>
          <w:lang w:eastAsia="zh-CN"/>
        </w:rPr>
        <w:t>叁</w:t>
      </w:r>
      <w:r>
        <w:rPr>
          <w:rFonts w:hint="eastAsia" w:ascii="宋体" w:hAnsi="宋体" w:eastAsia="宋体" w:cs="宋体"/>
          <w:b/>
          <w:bCs/>
          <w:color w:val="auto"/>
          <w:sz w:val="24"/>
          <w:szCs w:val="24"/>
          <w:u w:val="single"/>
        </w:rPr>
        <w:t xml:space="preserve"> </w:t>
      </w:r>
      <w:r>
        <w:rPr>
          <w:rFonts w:hint="eastAsia" w:ascii="宋体" w:hAnsi="宋体" w:eastAsia="宋体" w:cs="宋体"/>
          <w:color w:val="auto"/>
          <w:sz w:val="24"/>
          <w:szCs w:val="24"/>
        </w:rPr>
        <w:t xml:space="preserve">份，咨询人执 </w:t>
      </w:r>
      <w:r>
        <w:rPr>
          <w:rFonts w:hint="eastAsia" w:ascii="宋体" w:hAnsi="宋体" w:eastAsia="宋体" w:cs="宋体"/>
          <w:b/>
          <w:bCs/>
          <w:color w:val="auto"/>
          <w:sz w:val="24"/>
          <w:szCs w:val="24"/>
          <w:u w:val="single"/>
          <w:lang w:eastAsia="zh-CN"/>
        </w:rPr>
        <w:t>叁</w:t>
      </w:r>
      <w:r>
        <w:rPr>
          <w:rFonts w:hint="eastAsia" w:ascii="宋体" w:hAnsi="宋体" w:eastAsia="宋体" w:cs="宋体"/>
          <w:b/>
          <w:bCs/>
          <w:color w:val="auto"/>
          <w:sz w:val="24"/>
          <w:szCs w:val="24"/>
          <w:u w:val="single"/>
        </w:rPr>
        <w:t xml:space="preserve"> </w:t>
      </w:r>
      <w:r>
        <w:rPr>
          <w:rFonts w:hint="eastAsia" w:ascii="宋体" w:hAnsi="宋体" w:eastAsia="宋体" w:cs="宋体"/>
          <w:color w:val="auto"/>
          <w:sz w:val="24"/>
          <w:szCs w:val="24"/>
        </w:rPr>
        <w:t>份。</w:t>
      </w:r>
    </w:p>
    <w:bookmarkEnd w:id="31"/>
    <w:p w14:paraId="10FB878B">
      <w:pPr>
        <w:pStyle w:val="307"/>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color w:val="auto"/>
          <w:sz w:val="24"/>
          <w:szCs w:val="24"/>
        </w:rPr>
      </w:pPr>
    </w:p>
    <w:p w14:paraId="56590191">
      <w:pPr>
        <w:pStyle w:val="307"/>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color w:val="auto"/>
          <w:sz w:val="24"/>
          <w:szCs w:val="24"/>
        </w:rPr>
      </w:pPr>
    </w:p>
    <w:p w14:paraId="3E03D458">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委托人（盖章）：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咨询人（盖章）：</w:t>
      </w:r>
    </w:p>
    <w:p w14:paraId="2D1170C0">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eastAsia="zh-CN"/>
        </w:rPr>
        <w:t>或授权代理人</w:t>
      </w:r>
      <w:r>
        <w:rPr>
          <w:rFonts w:hint="eastAsia" w:ascii="宋体" w:hAnsi="宋体" w:eastAsia="宋体" w:cs="宋体"/>
          <w:color w:val="auto"/>
          <w:sz w:val="24"/>
          <w:szCs w:val="24"/>
        </w:rPr>
        <w:t>：                法定代表人</w:t>
      </w:r>
      <w:r>
        <w:rPr>
          <w:rFonts w:hint="eastAsia" w:ascii="宋体" w:hAnsi="宋体" w:eastAsia="宋体" w:cs="宋体"/>
          <w:color w:val="auto"/>
          <w:sz w:val="24"/>
          <w:szCs w:val="24"/>
          <w:lang w:eastAsia="zh-CN"/>
        </w:rPr>
        <w:t>或授权代理人</w:t>
      </w:r>
      <w:r>
        <w:rPr>
          <w:rFonts w:hint="eastAsia" w:ascii="宋体" w:hAnsi="宋体" w:eastAsia="宋体" w:cs="宋体"/>
          <w:color w:val="auto"/>
          <w:sz w:val="24"/>
          <w:szCs w:val="24"/>
        </w:rPr>
        <w:t>：</w:t>
      </w:r>
    </w:p>
    <w:p w14:paraId="3B743241">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（签字或盖章）                          （签字或盖章）</w:t>
      </w:r>
    </w:p>
    <w:p w14:paraId="335D2CA4">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纳税人识别码：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纳税人识别码:</w:t>
      </w:r>
    </w:p>
    <w:p w14:paraId="0F9F01FA">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住所：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住所：          </w:t>
      </w:r>
    </w:p>
    <w:p w14:paraId="02875153">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账号：102403894305</w:t>
      </w:r>
    </w:p>
    <w:p w14:paraId="1EF7915A">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开户银行：</w:t>
      </w:r>
    </w:p>
    <w:p w14:paraId="1F7134FD">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邮政编码：</w:t>
      </w:r>
    </w:p>
    <w:p w14:paraId="558ED5C4">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电话：</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电话：</w:t>
      </w:r>
    </w:p>
    <w:p w14:paraId="0BD961C1">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2CC8F3EA">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p>
    <w:p w14:paraId="61C15D76">
      <w:pPr>
        <w:pStyle w:val="307"/>
        <w:keepNext w:val="0"/>
        <w:keepLines w:val="0"/>
        <w:pageBreakBefore w:val="0"/>
        <w:widowControl w:val="0"/>
        <w:kinsoku/>
        <w:wordWrap/>
        <w:overflowPunct/>
        <w:topLinePunct w:val="0"/>
        <w:autoSpaceDE/>
        <w:autoSpaceDN/>
        <w:bidi w:val="0"/>
        <w:adjustRightInd/>
        <w:snapToGrid/>
        <w:spacing w:line="720" w:lineRule="auto"/>
        <w:ind w:firstLine="0" w:firstLineChars="0"/>
        <w:textAlignment w:val="auto"/>
        <w:rPr>
          <w:rFonts w:hint="eastAsia" w:ascii="宋体" w:hAnsi="宋体" w:eastAsia="宋体" w:cs="宋体"/>
          <w:color w:val="auto"/>
          <w:sz w:val="24"/>
          <w:szCs w:val="24"/>
        </w:rPr>
      </w:pPr>
    </w:p>
    <w:p w14:paraId="2ABA165F">
      <w:pPr>
        <w:pStyle w:val="3"/>
        <w:spacing w:before="120" w:after="120" w:line="360" w:lineRule="auto"/>
        <w:jc w:val="center"/>
        <w:rPr>
          <w:rFonts w:hint="eastAsia" w:ascii="宋体" w:hAnsi="宋体" w:eastAsia="宋体" w:cs="宋体"/>
          <w:color w:val="auto"/>
          <w:sz w:val="32"/>
          <w:szCs w:val="32"/>
        </w:rPr>
      </w:pPr>
      <w:bookmarkStart w:id="58" w:name="_Toc467877799"/>
      <w:bookmarkStart w:id="59" w:name="_Toc1049"/>
      <w:bookmarkStart w:id="60" w:name="_Toc14670"/>
      <w:r>
        <w:rPr>
          <w:rFonts w:hint="eastAsia" w:ascii="宋体" w:hAnsi="宋体" w:eastAsia="宋体" w:cs="宋体"/>
          <w:color w:val="auto"/>
          <w:sz w:val="32"/>
          <w:szCs w:val="32"/>
        </w:rPr>
        <w:t>第二部分  通用条件</w:t>
      </w:r>
      <w:bookmarkEnd w:id="58"/>
      <w:bookmarkEnd w:id="59"/>
      <w:bookmarkEnd w:id="60"/>
    </w:p>
    <w:p w14:paraId="5F0E397D">
      <w:pPr>
        <w:pStyle w:val="47"/>
        <w:keepNext w:val="0"/>
        <w:keepLines w:val="0"/>
        <w:pageBreakBefore w:val="0"/>
        <w:widowControl/>
        <w:kinsoku/>
        <w:wordWrap/>
        <w:overflowPunct/>
        <w:topLinePunct w:val="0"/>
        <w:bidi w:val="0"/>
        <w:snapToGrid/>
        <w:spacing w:before="0" w:after="0" w:line="400" w:lineRule="exact"/>
        <w:ind w:firstLine="482" w:firstLineChars="200"/>
        <w:jc w:val="left"/>
        <w:textAlignment w:val="auto"/>
        <w:rPr>
          <w:rFonts w:hint="eastAsia" w:ascii="宋体" w:hAnsi="宋体" w:eastAsia="宋体" w:cs="宋体"/>
          <w:color w:val="auto"/>
          <w:sz w:val="24"/>
          <w:szCs w:val="24"/>
        </w:rPr>
      </w:pPr>
      <w:bookmarkStart w:id="61" w:name="_Toc12084"/>
      <w:bookmarkStart w:id="62" w:name="_Toc56"/>
      <w:bookmarkStart w:id="63" w:name="_Toc419045067"/>
      <w:bookmarkStart w:id="64" w:name="_Toc25450"/>
      <w:bookmarkStart w:id="65" w:name="_Toc467877800"/>
      <w:r>
        <w:rPr>
          <w:rFonts w:hint="eastAsia" w:ascii="宋体" w:hAnsi="宋体" w:eastAsia="宋体" w:cs="宋体"/>
          <w:color w:val="auto"/>
          <w:sz w:val="24"/>
          <w:szCs w:val="24"/>
        </w:rPr>
        <w:t>1.词语定义、语言、解释顺序与适用法律</w:t>
      </w:r>
      <w:bookmarkEnd w:id="61"/>
      <w:bookmarkEnd w:id="62"/>
      <w:bookmarkEnd w:id="63"/>
      <w:bookmarkEnd w:id="64"/>
      <w:bookmarkEnd w:id="65"/>
    </w:p>
    <w:p w14:paraId="4F906B7B">
      <w:pPr>
        <w:pStyle w:val="47"/>
        <w:keepNext w:val="0"/>
        <w:keepLines w:val="0"/>
        <w:pageBreakBefore w:val="0"/>
        <w:widowControl/>
        <w:kinsoku/>
        <w:wordWrap/>
        <w:overflowPunct/>
        <w:topLinePunct w:val="0"/>
        <w:bidi w:val="0"/>
        <w:snapToGrid/>
        <w:spacing w:before="0" w:after="0" w:line="400" w:lineRule="exact"/>
        <w:ind w:firstLine="480" w:firstLineChars="200"/>
        <w:jc w:val="left"/>
        <w:textAlignment w:val="auto"/>
        <w:rPr>
          <w:rFonts w:hint="eastAsia" w:ascii="宋体" w:hAnsi="宋体" w:eastAsia="宋体" w:cs="宋体"/>
          <w:b w:val="0"/>
          <w:color w:val="auto"/>
          <w:sz w:val="24"/>
          <w:szCs w:val="24"/>
        </w:rPr>
      </w:pPr>
      <w:bookmarkStart w:id="66" w:name="_Toc15788"/>
      <w:bookmarkStart w:id="67" w:name="_Toc419045068"/>
      <w:bookmarkStart w:id="68" w:name="_Toc467877801"/>
      <w:bookmarkStart w:id="69" w:name="_Toc325"/>
      <w:bookmarkStart w:id="70" w:name="_Toc8824"/>
      <w:r>
        <w:rPr>
          <w:rFonts w:hint="eastAsia" w:ascii="宋体" w:hAnsi="宋体" w:eastAsia="宋体" w:cs="宋体"/>
          <w:b w:val="0"/>
          <w:color w:val="auto"/>
          <w:sz w:val="24"/>
          <w:szCs w:val="24"/>
        </w:rPr>
        <w:t>1.1词语定义</w:t>
      </w:r>
      <w:bookmarkEnd w:id="66"/>
      <w:bookmarkEnd w:id="67"/>
      <w:bookmarkEnd w:id="68"/>
      <w:bookmarkEnd w:id="69"/>
      <w:bookmarkEnd w:id="70"/>
    </w:p>
    <w:p w14:paraId="08A7A77F">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组成本合同的全部文件中的下列名词和用语应具有本款所赋予的含义：</w:t>
      </w:r>
    </w:p>
    <w:p w14:paraId="3B273465">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1.1.1“工程”是指按照本合同约定实施造价咨询与其他服务的建设工程。</w:t>
      </w:r>
    </w:p>
    <w:p w14:paraId="17D01080">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1.1.2“工程造价”是指工程项目建设过程中预计或实际支出的全部费用。</w:t>
      </w:r>
    </w:p>
    <w:p w14:paraId="1D9F5CCC">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1.1.3“委托人”是指本合同中委托造价咨询与其他服务的一方，及其合法的继承人或受让人。</w:t>
      </w:r>
    </w:p>
    <w:p w14:paraId="4EC5D442">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1.1.4“咨询人”是指本合同中提供造价咨询与其他服务的一方</w:t>
      </w:r>
      <w:r>
        <w:rPr>
          <w:rFonts w:hint="eastAsia" w:ascii="宋体" w:hAnsi="宋体" w:eastAsia="宋体" w:cs="宋体"/>
          <w:b/>
          <w:bCs/>
          <w:color w:val="auto"/>
          <w:sz w:val="24"/>
          <w:szCs w:val="24"/>
        </w:rPr>
        <w:t>，</w:t>
      </w:r>
      <w:r>
        <w:rPr>
          <w:rFonts w:hint="eastAsia" w:ascii="宋体" w:hAnsi="宋体" w:eastAsia="宋体" w:cs="宋体"/>
          <w:color w:val="auto"/>
          <w:sz w:val="24"/>
          <w:szCs w:val="24"/>
        </w:rPr>
        <w:t>及其合法的继承人。</w:t>
      </w:r>
    </w:p>
    <w:p w14:paraId="713366C2">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1.1.5“第三人”是指除委托人、咨询人以外与本咨询业务有关的当事人。</w:t>
      </w:r>
    </w:p>
    <w:p w14:paraId="33A2868B">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1.1.6“正常工作”是指本合同订立时通用条件和专用条件中约定的咨询人的工作。</w:t>
      </w:r>
    </w:p>
    <w:p w14:paraId="02193B7F">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1.1.7“附加工作”是指咨询人根据合同条件完成的正常工作以外的工作。</w:t>
      </w:r>
    </w:p>
    <w:p w14:paraId="5FA5088B">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1.1.8“项目咨询团队”是指咨询人指派负责履行本合同的团队，其团队成员为本合同的项目咨询人员。</w:t>
      </w:r>
    </w:p>
    <w:p w14:paraId="2B8EA4E5">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1.1.9“项目负责人”是指由咨询人的法定代表人书面授权，在授权范围内负责履行本合同、主持项目咨询团队工作的负责人。</w:t>
      </w:r>
    </w:p>
    <w:p w14:paraId="3A975A12">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1.1.10“委托人代表”是指由委托人的法定代表人书面授权，在授权范围内行使委托人权利的人。</w:t>
      </w:r>
    </w:p>
    <w:p w14:paraId="13FD57C3">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1.1.11“酬金”是指咨询人履行本合同义务，委托人按照本合同约定给付咨询人的金额。</w:t>
      </w:r>
    </w:p>
    <w:p w14:paraId="31E2119B">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1.1.12“正常工作酬金”是指在协议书中载明的，咨询人完成正常工作，委托人应给付咨询人的酬金。</w:t>
      </w:r>
    </w:p>
    <w:p w14:paraId="1C1D8F2D">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1.1.13“附加工作酬金”是指咨询人完成附加工作，委托人应给付咨询人的酬金。</w:t>
      </w:r>
    </w:p>
    <w:p w14:paraId="253DB86A">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1.1.14“书面形式”是指合同书、信件和数据电文（包括电报、电传、传真、电子数据交换和电子邮件）等可以有形地表现所载内容的形式。</w:t>
      </w:r>
    </w:p>
    <w:p w14:paraId="544D66AE">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1.1.15“不可抗力”是指委托人和咨询人在订立本合同时不可预见，在合同履行过程中不可避免并不能克服的自然灾害和社会性突发事件，如地震、海啸、瘟疫、水灾、骚乱、暴动、战争等情形。</w:t>
      </w:r>
    </w:p>
    <w:p w14:paraId="63BD1B7E">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71" w:name="_Toc419045069"/>
      <w:bookmarkStart w:id="72" w:name="_Toc15247"/>
      <w:bookmarkStart w:id="73" w:name="_Toc17541"/>
      <w:bookmarkStart w:id="74" w:name="_Toc467877802"/>
      <w:bookmarkStart w:id="75" w:name="_Toc13274"/>
      <w:r>
        <w:rPr>
          <w:rFonts w:hint="eastAsia" w:ascii="宋体" w:hAnsi="宋体" w:eastAsia="宋体" w:cs="宋体"/>
          <w:b w:val="0"/>
          <w:color w:val="auto"/>
          <w:sz w:val="24"/>
          <w:szCs w:val="24"/>
        </w:rPr>
        <w:t>1.2语言</w:t>
      </w:r>
      <w:bookmarkEnd w:id="71"/>
      <w:bookmarkEnd w:id="72"/>
      <w:bookmarkEnd w:id="73"/>
      <w:bookmarkEnd w:id="74"/>
      <w:bookmarkEnd w:id="75"/>
    </w:p>
    <w:p w14:paraId="6478163F">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本合同使用中文书写、解释和说明。如专用条件约定使用两种及以上语言文字时，应以中文为准。</w:t>
      </w:r>
    </w:p>
    <w:p w14:paraId="074CBE49">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76" w:name="_Toc419045070"/>
      <w:bookmarkStart w:id="77" w:name="_Toc22113"/>
      <w:bookmarkStart w:id="78" w:name="_Toc26035"/>
      <w:bookmarkStart w:id="79" w:name="_Toc467877803"/>
      <w:bookmarkStart w:id="80" w:name="_Toc8415"/>
      <w:r>
        <w:rPr>
          <w:rFonts w:hint="eastAsia" w:ascii="宋体" w:hAnsi="宋体" w:eastAsia="宋体" w:cs="宋体"/>
          <w:b w:val="0"/>
          <w:color w:val="auto"/>
          <w:sz w:val="24"/>
          <w:szCs w:val="24"/>
        </w:rPr>
        <w:t>1.3合同文件的优先顺序</w:t>
      </w:r>
      <w:bookmarkEnd w:id="76"/>
      <w:bookmarkEnd w:id="77"/>
      <w:bookmarkEnd w:id="78"/>
      <w:bookmarkEnd w:id="79"/>
      <w:bookmarkEnd w:id="80"/>
    </w:p>
    <w:p w14:paraId="4D059AA6">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组成本合同的下列文件彼此应能相互解释、互为说明。除专用条件另有约定外，本合同文件的解释顺序如下：</w:t>
      </w:r>
    </w:p>
    <w:p w14:paraId="1E4B04A5">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1.协议书</w:t>
      </w:r>
    </w:p>
    <w:p w14:paraId="41D2DD4F">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2.中标通知书或委托书（如果有）；</w:t>
      </w:r>
    </w:p>
    <w:p w14:paraId="4882862D">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3.专用条件及附录；</w:t>
      </w:r>
    </w:p>
    <w:p w14:paraId="2673A66C">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4.通用条件；</w:t>
      </w:r>
    </w:p>
    <w:p w14:paraId="4E1CA3C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5.投标函及投标函附录或造价咨询服务建议书（如果有）；</w:t>
      </w:r>
    </w:p>
    <w:p w14:paraId="52C5C56E">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6.其他合同文件。</w:t>
      </w:r>
    </w:p>
    <w:p w14:paraId="27ABC5F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上述各项合同文件包括合同当事人就该项合同文件所作出的补充和修改，属于同一类内容的文件，应以最新签署的为准。</w:t>
      </w:r>
    </w:p>
    <w:p w14:paraId="4A5BF458">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在合同订立及履行过程中形成的与合同有关的文件均构成合同文件的组成部分。</w:t>
      </w:r>
    </w:p>
    <w:p w14:paraId="4A7B36CB">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81" w:name="_Toc26691"/>
      <w:bookmarkStart w:id="82" w:name="_Toc467877804"/>
      <w:bookmarkStart w:id="83" w:name="_Toc419045071"/>
      <w:bookmarkStart w:id="84" w:name="_Toc25137"/>
      <w:bookmarkStart w:id="85" w:name="_Toc25538"/>
      <w:r>
        <w:rPr>
          <w:rFonts w:hint="eastAsia" w:ascii="宋体" w:hAnsi="宋体" w:eastAsia="宋体" w:cs="宋体"/>
          <w:b w:val="0"/>
          <w:color w:val="auto"/>
          <w:sz w:val="24"/>
          <w:szCs w:val="24"/>
        </w:rPr>
        <w:t>1.4适用法律</w:t>
      </w:r>
      <w:bookmarkEnd w:id="81"/>
      <w:bookmarkEnd w:id="82"/>
      <w:bookmarkEnd w:id="83"/>
      <w:bookmarkEnd w:id="84"/>
      <w:bookmarkEnd w:id="85"/>
    </w:p>
    <w:p w14:paraId="793F3AD9">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本合同适用中华人民共和国法律、行政法规、部门规章以及工程所在地的地方性法规、自治条例、单行条例和地方政府规章等。</w:t>
      </w:r>
    </w:p>
    <w:p w14:paraId="390D040A">
      <w:pPr>
        <w:keepNext w:val="0"/>
        <w:keepLines w:val="0"/>
        <w:pageBreakBefore w:val="0"/>
        <w:widowControl/>
        <w:kinsoku/>
        <w:wordWrap/>
        <w:overflowPunct/>
        <w:topLinePunct w:val="0"/>
        <w:bidi w:val="0"/>
        <w:snapToGrid/>
        <w:spacing w:line="400" w:lineRule="exact"/>
        <w:ind w:firstLine="480" w:firstLineChars="200"/>
        <w:textAlignment w:val="auto"/>
        <w:rPr>
          <w:rStyle w:val="308"/>
          <w:rFonts w:hint="eastAsia" w:ascii="宋体" w:hAnsi="宋体" w:eastAsia="宋体" w:cs="宋体"/>
          <w:color w:val="auto"/>
          <w:sz w:val="24"/>
          <w:szCs w:val="24"/>
        </w:rPr>
      </w:pPr>
      <w:r>
        <w:rPr>
          <w:rFonts w:hint="eastAsia" w:ascii="宋体" w:hAnsi="宋体" w:eastAsia="宋体" w:cs="宋体"/>
          <w:color w:val="auto"/>
          <w:sz w:val="24"/>
          <w:szCs w:val="24"/>
        </w:rPr>
        <w:t>合同当事人可以在专用条件中约定本合同适用的其他规范、规程、定额、技术标准等规范性文件。</w:t>
      </w:r>
    </w:p>
    <w:p w14:paraId="380EE348">
      <w:pPr>
        <w:pStyle w:val="47"/>
        <w:keepNext w:val="0"/>
        <w:keepLines w:val="0"/>
        <w:pageBreakBefore w:val="0"/>
        <w:widowControl/>
        <w:kinsoku/>
        <w:wordWrap/>
        <w:overflowPunct/>
        <w:topLinePunct w:val="0"/>
        <w:bidi w:val="0"/>
        <w:snapToGrid/>
        <w:spacing w:before="0" w:after="0" w:line="400" w:lineRule="exact"/>
        <w:ind w:firstLine="482" w:firstLineChars="200"/>
        <w:jc w:val="left"/>
        <w:textAlignment w:val="auto"/>
        <w:rPr>
          <w:rFonts w:hint="eastAsia" w:ascii="宋体" w:hAnsi="宋体" w:eastAsia="宋体" w:cs="宋体"/>
          <w:color w:val="auto"/>
          <w:sz w:val="24"/>
          <w:szCs w:val="24"/>
        </w:rPr>
      </w:pPr>
      <w:bookmarkStart w:id="86" w:name="_Toc265"/>
      <w:bookmarkStart w:id="87" w:name="_Toc467877805"/>
      <w:bookmarkStart w:id="88" w:name="_Toc31245"/>
      <w:bookmarkStart w:id="89" w:name="_Toc4142"/>
      <w:r>
        <w:rPr>
          <w:rFonts w:hint="eastAsia" w:ascii="宋体" w:hAnsi="宋体" w:eastAsia="宋体" w:cs="宋体"/>
          <w:color w:val="auto"/>
          <w:sz w:val="24"/>
          <w:szCs w:val="24"/>
        </w:rPr>
        <w:t>2.委托人的义务</w:t>
      </w:r>
      <w:bookmarkEnd w:id="86"/>
      <w:bookmarkEnd w:id="87"/>
      <w:bookmarkEnd w:id="88"/>
      <w:bookmarkEnd w:id="89"/>
    </w:p>
    <w:p w14:paraId="36FC924E">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90" w:name="_Toc467877806"/>
      <w:bookmarkStart w:id="91" w:name="_Toc25327"/>
      <w:bookmarkStart w:id="92" w:name="_Toc419045072"/>
      <w:bookmarkStart w:id="93" w:name="_Toc13041"/>
      <w:bookmarkStart w:id="94" w:name="_Toc2631"/>
      <w:r>
        <w:rPr>
          <w:rFonts w:hint="eastAsia" w:ascii="宋体" w:hAnsi="宋体" w:eastAsia="宋体" w:cs="宋体"/>
          <w:b w:val="0"/>
          <w:color w:val="auto"/>
          <w:sz w:val="24"/>
          <w:szCs w:val="24"/>
        </w:rPr>
        <w:t>2.1提供资料</w:t>
      </w:r>
      <w:bookmarkEnd w:id="90"/>
      <w:bookmarkEnd w:id="91"/>
      <w:bookmarkEnd w:id="92"/>
      <w:bookmarkEnd w:id="93"/>
      <w:bookmarkEnd w:id="94"/>
    </w:p>
    <w:p w14:paraId="449AD1E3">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应当在专用条件约定的时间内，按照附录C的约定无偿向咨询人提供与本合同咨询业务有关的资料。在本合同履行过程中，委托人应及时向咨询人提供最新的与本合同咨询业务有关的资料。委托人应对所提供资料的真实性、准确性、合法性与完整性负责。</w:t>
      </w:r>
    </w:p>
    <w:p w14:paraId="2E6DACD3">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95" w:name="_Toc467877807"/>
      <w:bookmarkStart w:id="96" w:name="_Toc8579"/>
      <w:bookmarkStart w:id="97" w:name="_Toc419045073"/>
      <w:bookmarkStart w:id="98" w:name="_Toc19835"/>
      <w:bookmarkStart w:id="99" w:name="_Toc21161"/>
      <w:r>
        <w:rPr>
          <w:rFonts w:hint="eastAsia" w:ascii="宋体" w:hAnsi="宋体" w:eastAsia="宋体" w:cs="宋体"/>
          <w:b w:val="0"/>
          <w:color w:val="auto"/>
          <w:sz w:val="24"/>
          <w:szCs w:val="24"/>
        </w:rPr>
        <w:t>2.2提供工作条件</w:t>
      </w:r>
      <w:bookmarkEnd w:id="95"/>
      <w:bookmarkEnd w:id="96"/>
      <w:bookmarkEnd w:id="97"/>
      <w:bookmarkEnd w:id="98"/>
      <w:bookmarkEnd w:id="99"/>
    </w:p>
    <w:p w14:paraId="1F75F048">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委托人应为咨询人完成造价咨询提供必要的条件。</w:t>
      </w:r>
    </w:p>
    <w:p w14:paraId="08EE20A7">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2.2.1委托人需要咨询人派驻项目现场咨询人员的，除专用条件另有约定外，项目咨询人员有权无偿使用附录D中由委托人提供的房屋及设备。</w:t>
      </w:r>
    </w:p>
    <w:p w14:paraId="4538DF95">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2.2.2委托人应负责与本工程造价咨询业务有关的所有外部关系的协调，为咨询人履行本合同提供必要的外部条件。</w:t>
      </w:r>
    </w:p>
    <w:p w14:paraId="5F79DC07">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00" w:name="_Toc19679"/>
      <w:bookmarkStart w:id="101" w:name="_Toc467877808"/>
      <w:bookmarkStart w:id="102" w:name="_Toc419045074"/>
      <w:bookmarkStart w:id="103" w:name="_Toc24177"/>
      <w:bookmarkStart w:id="104" w:name="_Toc9324"/>
      <w:r>
        <w:rPr>
          <w:rFonts w:hint="eastAsia" w:ascii="宋体" w:hAnsi="宋体" w:eastAsia="宋体" w:cs="宋体"/>
          <w:b w:val="0"/>
          <w:color w:val="auto"/>
          <w:sz w:val="24"/>
          <w:szCs w:val="24"/>
        </w:rPr>
        <w:t>2.3合理工作时限</w:t>
      </w:r>
      <w:bookmarkEnd w:id="100"/>
      <w:bookmarkEnd w:id="101"/>
      <w:bookmarkEnd w:id="102"/>
      <w:bookmarkEnd w:id="103"/>
      <w:bookmarkEnd w:id="104"/>
    </w:p>
    <w:p w14:paraId="75EECF64">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委托人应当为咨询人完成其咨询工作，设定合理的工作时限。</w:t>
      </w:r>
    </w:p>
    <w:p w14:paraId="246C730A">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05" w:name="_Toc9498"/>
      <w:bookmarkStart w:id="106" w:name="_Toc14644"/>
      <w:bookmarkStart w:id="107" w:name="_Toc30277"/>
      <w:bookmarkStart w:id="108" w:name="_Toc419045075"/>
      <w:bookmarkStart w:id="109" w:name="_Toc467877809"/>
      <w:r>
        <w:rPr>
          <w:rFonts w:hint="eastAsia" w:ascii="宋体" w:hAnsi="宋体" w:eastAsia="宋体" w:cs="宋体"/>
          <w:b w:val="0"/>
          <w:color w:val="auto"/>
          <w:sz w:val="24"/>
          <w:szCs w:val="24"/>
        </w:rPr>
        <w:t>2.4委托人代表</w:t>
      </w:r>
      <w:bookmarkEnd w:id="105"/>
      <w:bookmarkEnd w:id="106"/>
      <w:bookmarkEnd w:id="107"/>
      <w:bookmarkEnd w:id="108"/>
      <w:bookmarkEnd w:id="109"/>
    </w:p>
    <w:p w14:paraId="43F543EB">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委托人应授权一名代表负责本合同的履行。委托人应在双方签订本合同7日内，将委托人代表的姓名和权限范围书面告知咨询人。委托人更换委托人代表时，应提前7日书面通知咨询人。</w:t>
      </w:r>
    </w:p>
    <w:p w14:paraId="6C2C6751">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10" w:name="_Toc419045076"/>
      <w:bookmarkStart w:id="111" w:name="_Toc467877810"/>
      <w:bookmarkStart w:id="112" w:name="_Toc17664"/>
      <w:bookmarkStart w:id="113" w:name="_Toc16813"/>
      <w:bookmarkStart w:id="114" w:name="_Toc23984"/>
      <w:r>
        <w:rPr>
          <w:rFonts w:hint="eastAsia" w:ascii="宋体" w:hAnsi="宋体" w:eastAsia="宋体" w:cs="宋体"/>
          <w:b w:val="0"/>
          <w:color w:val="auto"/>
          <w:sz w:val="24"/>
          <w:szCs w:val="24"/>
        </w:rPr>
        <w:t>2.5答复</w:t>
      </w:r>
      <w:bookmarkEnd w:id="110"/>
      <w:bookmarkEnd w:id="111"/>
      <w:bookmarkEnd w:id="112"/>
      <w:bookmarkEnd w:id="113"/>
      <w:bookmarkEnd w:id="114"/>
    </w:p>
    <w:p w14:paraId="03702182">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委托人应当在专用条件约定的时间内就咨询人以书面形式提交并要求做出答复的事宜给予书面答复。逾期未答复的，由此造成的工作延误和损失由委托人承担。</w:t>
      </w:r>
    </w:p>
    <w:p w14:paraId="79FABA56">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15" w:name="_Toc419045077"/>
      <w:bookmarkStart w:id="116" w:name="_Toc13304"/>
      <w:bookmarkStart w:id="117" w:name="_Toc467877811"/>
      <w:bookmarkStart w:id="118" w:name="_Toc2686"/>
      <w:bookmarkStart w:id="119" w:name="_Toc22763"/>
      <w:r>
        <w:rPr>
          <w:rFonts w:hint="eastAsia" w:ascii="宋体" w:hAnsi="宋体" w:eastAsia="宋体" w:cs="宋体"/>
          <w:b w:val="0"/>
          <w:color w:val="auto"/>
          <w:sz w:val="24"/>
          <w:szCs w:val="24"/>
        </w:rPr>
        <w:t>2.6支付</w:t>
      </w:r>
      <w:bookmarkEnd w:id="115"/>
      <w:bookmarkEnd w:id="116"/>
      <w:bookmarkEnd w:id="117"/>
      <w:bookmarkEnd w:id="118"/>
      <w:bookmarkEnd w:id="119"/>
    </w:p>
    <w:p w14:paraId="2454121F">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委托人应当按照合同的约定，向咨询人支付酬金。</w:t>
      </w:r>
    </w:p>
    <w:p w14:paraId="765D38F2">
      <w:pPr>
        <w:pStyle w:val="47"/>
        <w:keepNext w:val="0"/>
        <w:keepLines w:val="0"/>
        <w:pageBreakBefore w:val="0"/>
        <w:widowControl/>
        <w:kinsoku/>
        <w:wordWrap/>
        <w:overflowPunct/>
        <w:topLinePunct w:val="0"/>
        <w:bidi w:val="0"/>
        <w:snapToGrid/>
        <w:spacing w:before="0" w:after="0" w:line="400" w:lineRule="exact"/>
        <w:ind w:firstLine="482" w:firstLineChars="200"/>
        <w:jc w:val="left"/>
        <w:textAlignment w:val="auto"/>
        <w:rPr>
          <w:rFonts w:hint="eastAsia" w:ascii="宋体" w:hAnsi="宋体" w:eastAsia="宋体" w:cs="宋体"/>
          <w:color w:val="auto"/>
          <w:sz w:val="24"/>
          <w:szCs w:val="24"/>
        </w:rPr>
      </w:pPr>
      <w:bookmarkStart w:id="120" w:name="_Toc20577"/>
      <w:bookmarkStart w:id="121" w:name="_Toc25026"/>
      <w:bookmarkStart w:id="122" w:name="_Toc11544"/>
      <w:bookmarkStart w:id="123" w:name="_Toc467877812"/>
      <w:bookmarkStart w:id="124" w:name="_Toc419045078"/>
      <w:r>
        <w:rPr>
          <w:rFonts w:hint="eastAsia" w:ascii="宋体" w:hAnsi="宋体" w:eastAsia="宋体" w:cs="宋体"/>
          <w:color w:val="auto"/>
          <w:sz w:val="24"/>
          <w:szCs w:val="24"/>
        </w:rPr>
        <w:t>3.咨询人的义务</w:t>
      </w:r>
      <w:bookmarkEnd w:id="120"/>
      <w:bookmarkEnd w:id="121"/>
      <w:bookmarkEnd w:id="122"/>
      <w:bookmarkEnd w:id="123"/>
      <w:bookmarkEnd w:id="124"/>
    </w:p>
    <w:p w14:paraId="4A11E10C">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25" w:name="_Toc419045080"/>
      <w:bookmarkStart w:id="126" w:name="_Toc1241"/>
      <w:bookmarkStart w:id="127" w:name="_Toc467877813"/>
      <w:bookmarkStart w:id="128" w:name="_Toc29758"/>
      <w:bookmarkStart w:id="129" w:name="_Toc5039"/>
      <w:bookmarkStart w:id="130" w:name="16"/>
      <w:r>
        <w:rPr>
          <w:rFonts w:hint="eastAsia" w:ascii="宋体" w:hAnsi="宋体" w:eastAsia="宋体" w:cs="宋体"/>
          <w:b w:val="0"/>
          <w:color w:val="auto"/>
          <w:sz w:val="24"/>
          <w:szCs w:val="24"/>
        </w:rPr>
        <w:t>3.1项目咨询团队及人员</w:t>
      </w:r>
      <w:bookmarkEnd w:id="125"/>
      <w:bookmarkEnd w:id="126"/>
      <w:bookmarkEnd w:id="127"/>
      <w:bookmarkEnd w:id="128"/>
      <w:bookmarkEnd w:id="129"/>
    </w:p>
    <w:p w14:paraId="7167BE1A">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3.1.1项目咨询团队的主要人员应具有专用条件约定的资格条件，团队人员的数量应符合专用条件的约定。</w:t>
      </w:r>
    </w:p>
    <w:p w14:paraId="4D6D5F65">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3.1.2项目负责人</w:t>
      </w:r>
    </w:p>
    <w:p w14:paraId="01B8DF8B">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咨询人应以书面形式授权一名项目负责人负责履行本合同、主持项目咨询团队工作。采用招标程序签署本合同的，项目负责人应当与投标文件载明的一致。</w:t>
      </w:r>
    </w:p>
    <w:p w14:paraId="0C673AED">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3.1.3在本合同履行过程中，咨询人员应保持相对稳定，以保证咨询工作正常进行。</w:t>
      </w:r>
    </w:p>
    <w:p w14:paraId="579F0A6E">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可根据工程进展和工作需要等情形调整项目咨询团队人员。咨询人更换项目负责人时，应提前7日向委托人书面报告，经委托人同意后方可更换。除专用条件另有约定外，咨询人更换项目咨询团队其他咨询人员，应提前3日向委托人书面报告，经委托人同意后以相当资格与能力的人员替换。</w:t>
      </w:r>
    </w:p>
    <w:p w14:paraId="03232E76">
      <w:pPr>
        <w:pStyle w:val="307"/>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3.1.4咨询人员有下列情形之一，委托人要求咨询人更换的，咨询人应当更换：</w:t>
      </w:r>
    </w:p>
    <w:p w14:paraId="39D8157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（1）存在严重过失行为的；</w:t>
      </w:r>
    </w:p>
    <w:p w14:paraId="78DC2581">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（2）存在违法行为不能履行职责的；</w:t>
      </w:r>
    </w:p>
    <w:p w14:paraId="5719A816">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（3）涉嫌犯罪的；</w:t>
      </w:r>
    </w:p>
    <w:p w14:paraId="1A6E9279">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（4）不能胜任岗位职责的；</w:t>
      </w:r>
    </w:p>
    <w:p w14:paraId="56F8F0B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（5）严重违反职业道德的；</w:t>
      </w:r>
    </w:p>
    <w:p w14:paraId="2618C167">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（6）专用条件约定的其他情形。</w:t>
      </w:r>
    </w:p>
    <w:p w14:paraId="0C47CFF1">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31" w:name="_Toc24467"/>
      <w:bookmarkStart w:id="132" w:name="_Toc467877814"/>
      <w:bookmarkStart w:id="133" w:name="_Toc1390"/>
      <w:bookmarkStart w:id="134" w:name="_Toc22635"/>
      <w:r>
        <w:rPr>
          <w:rFonts w:hint="eastAsia" w:ascii="宋体" w:hAnsi="宋体" w:eastAsia="宋体" w:cs="宋体"/>
          <w:b w:val="0"/>
          <w:color w:val="auto"/>
          <w:sz w:val="24"/>
          <w:szCs w:val="24"/>
        </w:rPr>
        <w:t>3.2咨询人的工作要求</w:t>
      </w:r>
      <w:bookmarkEnd w:id="131"/>
      <w:bookmarkEnd w:id="132"/>
      <w:bookmarkEnd w:id="133"/>
      <w:bookmarkEnd w:id="134"/>
    </w:p>
    <w:p w14:paraId="20CE8727">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3.2.1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14:paraId="4F5C9B55">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3.2.2咨询人应当在专用条件约定的时间内，按照专用条件约定的份数、组成向委托人提交咨询成果文件。</w:t>
      </w:r>
    </w:p>
    <w:p w14:paraId="3DC41A6F">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提供造价咨询服务以及出具工程造价咨询成果文件应符合现行国家或行业有关规定、标准、规范的要求。委托人要求的工程造价咨询成果文件质量标准高于现行国家或行业标准的，应在专用条件中约定具体的质量标准，并相应增加服务酬金。</w:t>
      </w:r>
    </w:p>
    <w:p w14:paraId="3C9B22A2">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3.2.3咨询人提交的工程造价咨询成果文件，除加盖咨询人单位公章、工程造价咨询企业执业印章外，还必须按要求加盖参加咨询工作人员的执业（从业）资格印章。</w:t>
      </w:r>
    </w:p>
    <w:p w14:paraId="778F20C8">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3.2.4咨询人应在专用条件约定的时间内，对委托人以书面形式提出的建议或者异议给予书面答复。</w:t>
      </w:r>
    </w:p>
    <w:p w14:paraId="20069172">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3.2.5咨询人从事工程造价咨询活动，应当遵循独立、客观、公正、诚实信用的原则，不得损害社会公共利益和他人的合法权益。</w:t>
      </w:r>
    </w:p>
    <w:p w14:paraId="358A3ADC">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3.2.6咨询人承诺按照法律规定及合同约定，完成合同范围内的建设工程造价咨询服务，不转包承接的造价咨询服务业务。</w:t>
      </w:r>
    </w:p>
    <w:p w14:paraId="1C90FCD7">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35" w:name="_Toc25443"/>
      <w:bookmarkStart w:id="136" w:name="_Toc467877815"/>
      <w:bookmarkStart w:id="137" w:name="_Toc419045081"/>
      <w:bookmarkStart w:id="138" w:name="_Toc13733"/>
      <w:bookmarkStart w:id="139" w:name="_Toc19700"/>
      <w:r>
        <w:rPr>
          <w:rFonts w:hint="eastAsia" w:ascii="宋体" w:hAnsi="宋体" w:eastAsia="宋体" w:cs="宋体"/>
          <w:b w:val="0"/>
          <w:color w:val="auto"/>
          <w:sz w:val="24"/>
          <w:szCs w:val="24"/>
        </w:rPr>
        <w:t>3.3咨询人的工作依据</w:t>
      </w:r>
      <w:bookmarkEnd w:id="135"/>
      <w:bookmarkEnd w:id="136"/>
      <w:bookmarkEnd w:id="137"/>
      <w:bookmarkEnd w:id="138"/>
      <w:bookmarkEnd w:id="139"/>
    </w:p>
    <w:p w14:paraId="63D03910">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咨询人应在专用条件内与委托人协商明确履行本合同约定的咨询服务需要适用的技术标准、规范、定额等工作依据，但不得违反国家及工程所在地的强制性标准、规范。</w:t>
      </w:r>
    </w:p>
    <w:p w14:paraId="7D123489">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咨询人应自行配备本条所述的技术标准、规范、定额等相关资料。必须由委托人提供的资料，应在附录C中载明。需要委托人协助才能获得的资料，委托人应予以协助。</w:t>
      </w:r>
    </w:p>
    <w:p w14:paraId="6D3403E2">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40" w:name="_Toc467877816"/>
      <w:bookmarkStart w:id="141" w:name="_Toc419045082"/>
      <w:bookmarkStart w:id="142" w:name="_Toc6743"/>
      <w:bookmarkStart w:id="143" w:name="_Toc4775"/>
      <w:bookmarkStart w:id="144" w:name="_Toc7386"/>
      <w:r>
        <w:rPr>
          <w:rFonts w:hint="eastAsia" w:ascii="宋体" w:hAnsi="宋体" w:eastAsia="宋体" w:cs="宋体"/>
          <w:b w:val="0"/>
          <w:color w:val="auto"/>
          <w:sz w:val="24"/>
          <w:szCs w:val="24"/>
        </w:rPr>
        <w:t>3.4使用委托人房屋及设备的返还</w:t>
      </w:r>
      <w:bookmarkEnd w:id="140"/>
      <w:bookmarkEnd w:id="141"/>
      <w:bookmarkEnd w:id="142"/>
      <w:bookmarkEnd w:id="143"/>
      <w:bookmarkEnd w:id="144"/>
    </w:p>
    <w:p w14:paraId="1E22BD5F">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项目咨询人员使用委托人提供的房屋及设备的，咨询人应妥善使用和保管，在本合同终止时将上述房屋及设备按专用条件约定的时间和方式返还委托人。</w:t>
      </w:r>
    </w:p>
    <w:bookmarkEnd w:id="130"/>
    <w:p w14:paraId="39187DA5">
      <w:pPr>
        <w:keepNext w:val="0"/>
        <w:keepLines w:val="0"/>
        <w:pageBreakBefore w:val="0"/>
        <w:widowControl/>
        <w:kinsoku/>
        <w:wordWrap/>
        <w:overflowPunct/>
        <w:topLinePunct w:val="0"/>
        <w:bidi w:val="0"/>
        <w:snapToGrid/>
        <w:spacing w:line="400" w:lineRule="exact"/>
        <w:ind w:firstLine="482" w:firstLineChars="200"/>
        <w:textAlignment w:val="auto"/>
        <w:rPr>
          <w:rStyle w:val="308"/>
          <w:rFonts w:hint="eastAsia" w:ascii="宋体" w:hAnsi="宋体" w:eastAsia="宋体" w:cs="宋体"/>
          <w:color w:val="auto"/>
          <w:sz w:val="24"/>
          <w:szCs w:val="24"/>
        </w:rPr>
      </w:pPr>
      <w:bookmarkStart w:id="145" w:name="_Toc467877817"/>
      <w:bookmarkStart w:id="146" w:name="_Toc419045083"/>
      <w:bookmarkStart w:id="147" w:name="_Toc1801"/>
      <w:bookmarkStart w:id="148" w:name="_Toc9981"/>
      <w:bookmarkStart w:id="149" w:name="_Toc28765"/>
      <w:bookmarkStart w:id="150" w:name="19"/>
      <w:r>
        <w:rPr>
          <w:rStyle w:val="308"/>
          <w:rFonts w:hint="eastAsia" w:ascii="宋体" w:hAnsi="宋体" w:eastAsia="宋体" w:cs="宋体"/>
          <w:color w:val="auto"/>
          <w:sz w:val="24"/>
          <w:szCs w:val="24"/>
        </w:rPr>
        <w:t>4.违约责任</w:t>
      </w:r>
      <w:bookmarkEnd w:id="145"/>
      <w:bookmarkEnd w:id="146"/>
    </w:p>
    <w:bookmarkEnd w:id="147"/>
    <w:bookmarkEnd w:id="148"/>
    <w:bookmarkEnd w:id="149"/>
    <w:p w14:paraId="7742C6E4">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51" w:name="_Toc467877818"/>
      <w:bookmarkStart w:id="152" w:name="_Toc16910"/>
      <w:bookmarkStart w:id="153" w:name="_Toc32746"/>
      <w:bookmarkStart w:id="154" w:name="_Toc21500"/>
      <w:r>
        <w:rPr>
          <w:rFonts w:hint="eastAsia" w:ascii="宋体" w:hAnsi="宋体" w:eastAsia="宋体" w:cs="宋体"/>
          <w:b w:val="0"/>
          <w:color w:val="auto"/>
          <w:sz w:val="24"/>
          <w:szCs w:val="24"/>
        </w:rPr>
        <w:t>4.1委托人的违约责任</w:t>
      </w:r>
      <w:bookmarkEnd w:id="151"/>
      <w:bookmarkEnd w:id="152"/>
      <w:bookmarkEnd w:id="153"/>
      <w:bookmarkEnd w:id="154"/>
    </w:p>
    <w:p w14:paraId="7DDD6122">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4.1.1委托人不履行本合同义务或者履行义务不符合本合同约定的，应承担违约责任。双方可在专用条件中约定违约金的计算及支付方法。</w:t>
      </w:r>
    </w:p>
    <w:p w14:paraId="3AA80DBE">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4.1.2委托人违反本合同约定造成咨询人损失的，委托人应予以赔偿。双方可在专用条件中约定赔偿金额的确定及支付方法。</w:t>
      </w:r>
    </w:p>
    <w:p w14:paraId="6B961CB7">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Style w:val="308"/>
          <w:rFonts w:hint="eastAsia" w:ascii="宋体" w:hAnsi="宋体" w:eastAsia="宋体" w:cs="宋体"/>
          <w:b w:val="0"/>
          <w:bCs w:val="0"/>
          <w:color w:val="auto"/>
          <w:sz w:val="24"/>
          <w:szCs w:val="24"/>
        </w:rPr>
      </w:pPr>
      <w:r>
        <w:rPr>
          <w:rFonts w:hint="eastAsia" w:ascii="宋体" w:hAnsi="宋体" w:eastAsia="宋体" w:cs="宋体"/>
          <w:color w:val="auto"/>
          <w:sz w:val="24"/>
          <w:szCs w:val="24"/>
        </w:rPr>
        <w:t>4.1.3委托人未能按期支付酬金超过14天，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14:paraId="3B05DF33">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55" w:name="_Toc467877819"/>
      <w:bookmarkStart w:id="156" w:name="_Toc419045084"/>
      <w:bookmarkStart w:id="157" w:name="_Toc20125"/>
      <w:bookmarkStart w:id="158" w:name="_Toc21931"/>
      <w:bookmarkStart w:id="159" w:name="_Toc2746"/>
      <w:r>
        <w:rPr>
          <w:rFonts w:hint="eastAsia" w:ascii="宋体" w:hAnsi="宋体" w:eastAsia="宋体" w:cs="宋体"/>
          <w:b w:val="0"/>
          <w:color w:val="auto"/>
          <w:sz w:val="24"/>
          <w:szCs w:val="24"/>
        </w:rPr>
        <w:t>4.2咨询人的违约责任</w:t>
      </w:r>
      <w:bookmarkEnd w:id="155"/>
      <w:bookmarkEnd w:id="156"/>
      <w:bookmarkEnd w:id="157"/>
      <w:bookmarkEnd w:id="158"/>
      <w:bookmarkEnd w:id="159"/>
    </w:p>
    <w:p w14:paraId="796A272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4.2.1咨询人不履行本合同义务或者履行义务不符合本合同约定的，应承担违约责任。双方可在专用条件中约定违约金的计算及支付方法。</w:t>
      </w:r>
    </w:p>
    <w:p w14:paraId="4E9DD3A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4.2.2因咨询人违反本合同约定给委托人造成损失的，咨询人应当赔偿委托人损失。双方可在专用条件中约定赔偿金额的确定及支付方法。</w:t>
      </w:r>
    </w:p>
    <w:p w14:paraId="293957DA">
      <w:pPr>
        <w:keepNext w:val="0"/>
        <w:keepLines w:val="0"/>
        <w:pageBreakBefore w:val="0"/>
        <w:widowControl/>
        <w:kinsoku/>
        <w:wordWrap/>
        <w:overflowPunct/>
        <w:topLinePunct w:val="0"/>
        <w:bidi w:val="0"/>
        <w:snapToGrid/>
        <w:spacing w:line="400" w:lineRule="exact"/>
        <w:ind w:firstLine="482" w:firstLineChars="200"/>
        <w:textAlignment w:val="auto"/>
        <w:rPr>
          <w:rStyle w:val="308"/>
          <w:rFonts w:hint="eastAsia" w:ascii="宋体" w:hAnsi="宋体" w:eastAsia="宋体" w:cs="宋体"/>
          <w:bCs w:val="0"/>
          <w:color w:val="auto"/>
          <w:sz w:val="24"/>
          <w:szCs w:val="24"/>
          <w:highlight w:val="none"/>
        </w:rPr>
      </w:pPr>
      <w:bookmarkStart w:id="160" w:name="_Toc419045086"/>
      <w:bookmarkStart w:id="161" w:name="_Toc467877820"/>
      <w:bookmarkStart w:id="162" w:name="_Toc3035"/>
      <w:bookmarkStart w:id="163" w:name="_Toc27975"/>
      <w:bookmarkStart w:id="164" w:name="_Toc3457"/>
      <w:r>
        <w:rPr>
          <w:rStyle w:val="308"/>
          <w:rFonts w:hint="eastAsia" w:ascii="宋体" w:hAnsi="宋体" w:eastAsia="宋体" w:cs="宋体"/>
          <w:bCs w:val="0"/>
          <w:color w:val="auto"/>
          <w:sz w:val="24"/>
          <w:szCs w:val="24"/>
          <w:highlight w:val="none"/>
        </w:rPr>
        <w:t>5.支付</w:t>
      </w:r>
      <w:bookmarkEnd w:id="160"/>
      <w:bookmarkEnd w:id="161"/>
    </w:p>
    <w:bookmarkEnd w:id="162"/>
    <w:bookmarkEnd w:id="163"/>
    <w:bookmarkEnd w:id="164"/>
    <w:p w14:paraId="1B127827">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color w:val="auto"/>
          <w:sz w:val="24"/>
          <w:szCs w:val="24"/>
          <w:highlight w:val="green"/>
        </w:rPr>
      </w:pPr>
      <w:bookmarkStart w:id="165" w:name="_Toc467877821"/>
      <w:bookmarkStart w:id="166" w:name="_Toc3251"/>
      <w:bookmarkStart w:id="167" w:name="_Toc11192"/>
      <w:bookmarkStart w:id="168" w:name="_Toc419045087"/>
      <w:bookmarkStart w:id="169" w:name="_Toc13537"/>
      <w:r>
        <w:rPr>
          <w:rStyle w:val="309"/>
          <w:rFonts w:hint="eastAsia" w:ascii="宋体" w:hAnsi="宋体" w:eastAsia="宋体" w:cs="宋体"/>
          <w:b w:val="0"/>
          <w:bCs w:val="0"/>
          <w:color w:val="auto"/>
          <w:sz w:val="24"/>
          <w:szCs w:val="24"/>
          <w:highlight w:val="none"/>
        </w:rPr>
        <w:t>5.1支付货币</w:t>
      </w:r>
      <w:bookmarkEnd w:id="165"/>
      <w:bookmarkEnd w:id="166"/>
      <w:bookmarkEnd w:id="167"/>
      <w:bookmarkEnd w:id="168"/>
      <w:bookmarkEnd w:id="169"/>
    </w:p>
    <w:p w14:paraId="76FA4EEC">
      <w:pPr>
        <w:keepNext w:val="0"/>
        <w:keepLines w:val="0"/>
        <w:pageBreakBefore w:val="0"/>
        <w:widowControl/>
        <w:kinsoku/>
        <w:wordWrap/>
        <w:overflowPunct/>
        <w:topLinePunct w:val="0"/>
        <w:bidi w:val="0"/>
        <w:snapToGrid/>
        <w:spacing w:line="40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除专用条件另有约定外，酬金均以人民币支付。涉及外币支付的，所采用的货币种类和汇率等在专用条件中约定。</w:t>
      </w:r>
    </w:p>
    <w:p w14:paraId="48333293">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70" w:name="_Toc467877822"/>
      <w:bookmarkStart w:id="171" w:name="_Toc11023"/>
      <w:bookmarkStart w:id="172" w:name="_Toc16703"/>
      <w:bookmarkStart w:id="173" w:name="_Toc8930"/>
      <w:r>
        <w:rPr>
          <w:rFonts w:hint="eastAsia" w:ascii="宋体" w:hAnsi="宋体" w:eastAsia="宋体" w:cs="宋体"/>
          <w:b w:val="0"/>
          <w:color w:val="auto"/>
          <w:sz w:val="24"/>
          <w:szCs w:val="24"/>
        </w:rPr>
        <w:t>5.2支付申请</w:t>
      </w:r>
      <w:bookmarkEnd w:id="170"/>
      <w:bookmarkEnd w:id="171"/>
      <w:bookmarkEnd w:id="172"/>
      <w:bookmarkEnd w:id="173"/>
    </w:p>
    <w:p w14:paraId="379FF288">
      <w:pPr>
        <w:keepNext w:val="0"/>
        <w:keepLines w:val="0"/>
        <w:pageBreakBefore w:val="0"/>
        <w:widowControl/>
        <w:kinsoku/>
        <w:wordWrap/>
        <w:overflowPunct/>
        <w:topLinePunct w:val="0"/>
        <w:bidi w:val="0"/>
        <w:snapToGrid/>
        <w:spacing w:line="40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咨询人应在本合同约定的每次应付款日期前，向委托人提交支付申请书，支付申请书的提交日期由双方在专用条件中约定。支付申请书应当说明当期应付款总额，并列出当期应支付的款项及其金额。</w:t>
      </w:r>
    </w:p>
    <w:p w14:paraId="0F347F45">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74" w:name="_Toc16676"/>
      <w:bookmarkStart w:id="175" w:name="_Toc467877823"/>
      <w:bookmarkStart w:id="176" w:name="_Toc1857"/>
      <w:bookmarkStart w:id="177" w:name="_Toc3822"/>
      <w:r>
        <w:rPr>
          <w:rFonts w:hint="eastAsia" w:ascii="宋体" w:hAnsi="宋体" w:eastAsia="宋体" w:cs="宋体"/>
          <w:b w:val="0"/>
          <w:color w:val="auto"/>
          <w:sz w:val="24"/>
          <w:szCs w:val="24"/>
        </w:rPr>
        <w:t>5.3支付酬金</w:t>
      </w:r>
      <w:bookmarkEnd w:id="174"/>
      <w:bookmarkEnd w:id="175"/>
      <w:bookmarkEnd w:id="176"/>
      <w:bookmarkEnd w:id="177"/>
    </w:p>
    <w:p w14:paraId="1810D61B">
      <w:pPr>
        <w:keepNext w:val="0"/>
        <w:keepLines w:val="0"/>
        <w:pageBreakBefore w:val="0"/>
        <w:widowControl/>
        <w:kinsoku/>
        <w:wordWrap/>
        <w:overflowPunct/>
        <w:topLinePunct w:val="0"/>
        <w:bidi w:val="0"/>
        <w:snapToGrid/>
        <w:spacing w:line="40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支付酬金包括正常工作酬金、附加工作酬金、合理化建议奖励金额及费用。</w:t>
      </w:r>
    </w:p>
    <w:p w14:paraId="11D02924">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178" w:name="_Toc467877824"/>
      <w:bookmarkStart w:id="179" w:name="_Toc23344"/>
      <w:bookmarkStart w:id="180" w:name="_Toc12186"/>
      <w:bookmarkStart w:id="181" w:name="_Toc13577"/>
      <w:r>
        <w:rPr>
          <w:rFonts w:hint="eastAsia" w:ascii="宋体" w:hAnsi="宋体" w:eastAsia="宋体" w:cs="宋体"/>
          <w:b w:val="0"/>
          <w:color w:val="auto"/>
          <w:sz w:val="24"/>
          <w:szCs w:val="24"/>
        </w:rPr>
        <w:t>5.4有异议部分的支付</w:t>
      </w:r>
      <w:bookmarkEnd w:id="178"/>
      <w:bookmarkEnd w:id="179"/>
      <w:bookmarkEnd w:id="180"/>
      <w:bookmarkEnd w:id="181"/>
    </w:p>
    <w:p w14:paraId="68D58BC1">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委托人对咨询人提交的支付申请书有异议时，应当在收到咨询人提交的支付申请书后7日内，以书面形式向咨询人发出异议通知。无异议部分的款项应按期支付，有异议部分的款项按第7条约定办理。</w:t>
      </w:r>
    </w:p>
    <w:p w14:paraId="36971A74">
      <w:pPr>
        <w:keepNext w:val="0"/>
        <w:keepLines w:val="0"/>
        <w:pageBreakBefore w:val="0"/>
        <w:widowControl/>
        <w:kinsoku/>
        <w:wordWrap/>
        <w:overflowPunct/>
        <w:topLinePunct w:val="0"/>
        <w:bidi w:val="0"/>
        <w:snapToGrid/>
        <w:spacing w:line="400" w:lineRule="exact"/>
        <w:ind w:firstLine="482" w:firstLineChars="200"/>
        <w:textAlignment w:val="auto"/>
        <w:rPr>
          <w:rStyle w:val="308"/>
          <w:rFonts w:hint="eastAsia" w:ascii="宋体" w:hAnsi="宋体" w:eastAsia="宋体" w:cs="宋体"/>
          <w:color w:val="auto"/>
          <w:sz w:val="24"/>
          <w:szCs w:val="24"/>
        </w:rPr>
      </w:pPr>
      <w:bookmarkStart w:id="182" w:name="_Toc467877825"/>
      <w:bookmarkStart w:id="183" w:name="_Toc419045088"/>
      <w:bookmarkStart w:id="184" w:name="_Toc8098"/>
      <w:bookmarkStart w:id="185" w:name="_Toc21602"/>
      <w:bookmarkStart w:id="186" w:name="_Toc12460"/>
      <w:r>
        <w:rPr>
          <w:rStyle w:val="308"/>
          <w:rFonts w:hint="eastAsia" w:ascii="宋体" w:hAnsi="宋体" w:eastAsia="宋体" w:cs="宋体"/>
          <w:color w:val="auto"/>
          <w:sz w:val="24"/>
          <w:szCs w:val="24"/>
        </w:rPr>
        <w:t>6.合同变更、解除与终止</w:t>
      </w:r>
      <w:bookmarkEnd w:id="182"/>
      <w:bookmarkEnd w:id="183"/>
    </w:p>
    <w:bookmarkEnd w:id="184"/>
    <w:bookmarkEnd w:id="185"/>
    <w:bookmarkEnd w:id="186"/>
    <w:p w14:paraId="4B41C384">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bookmarkStart w:id="187" w:name="_Toc9660"/>
      <w:bookmarkStart w:id="188" w:name="_Toc419045089"/>
      <w:bookmarkStart w:id="189" w:name="_Toc32541"/>
      <w:bookmarkStart w:id="190" w:name="_Toc4844"/>
      <w:bookmarkStart w:id="191" w:name="_Toc467877826"/>
      <w:r>
        <w:rPr>
          <w:rStyle w:val="309"/>
          <w:rFonts w:hint="eastAsia" w:ascii="宋体" w:hAnsi="宋体" w:eastAsia="宋体" w:cs="宋体"/>
          <w:b w:val="0"/>
          <w:color w:val="auto"/>
          <w:sz w:val="24"/>
          <w:szCs w:val="24"/>
        </w:rPr>
        <w:t>6.1合同变更</w:t>
      </w:r>
      <w:bookmarkEnd w:id="187"/>
      <w:bookmarkEnd w:id="188"/>
      <w:bookmarkEnd w:id="189"/>
      <w:bookmarkEnd w:id="190"/>
      <w:bookmarkEnd w:id="191"/>
    </w:p>
    <w:p w14:paraId="2A4A5AB1">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6.1.1任何一方以书面形式提出变更请求时，双方经协商一致后可进行变更。</w:t>
      </w:r>
    </w:p>
    <w:p w14:paraId="1DA67D42">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6.1.2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件中约定。</w:t>
      </w:r>
    </w:p>
    <w:p w14:paraId="3F3E8005">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6.1.3合同履行过程中，遇有与工程相关的法律法规、强制性标准颁布或修订的，双方应遵照执行。非强制性标准、规范、定额等发生变化的，双方协商确定执行依据。由此引起造价咨询的服务范围及内容、服务期限、酬金变化的，双方应通过协商确定。</w:t>
      </w:r>
    </w:p>
    <w:p w14:paraId="3129B0A6">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b/>
          <w:bCs/>
          <w:color w:val="auto"/>
          <w:sz w:val="24"/>
          <w:szCs w:val="24"/>
        </w:rPr>
      </w:pPr>
      <w:r>
        <w:rPr>
          <w:rFonts w:hint="eastAsia" w:ascii="宋体" w:hAnsi="宋体" w:eastAsia="宋体" w:cs="宋体"/>
          <w:color w:val="auto"/>
          <w:sz w:val="24"/>
          <w:szCs w:val="24"/>
        </w:rPr>
        <w:t>6.1.4因工程规模、服务范围及工作内容的变化等导致咨询人的工作量增减时，服务酬金应作相应调整，调整方法由双方在专用条件中约定。</w:t>
      </w:r>
    </w:p>
    <w:p w14:paraId="57C1F0B2">
      <w:pPr>
        <w:keepNext w:val="0"/>
        <w:keepLines w:val="0"/>
        <w:pageBreakBefore w:val="0"/>
        <w:widowControl/>
        <w:kinsoku/>
        <w:wordWrap/>
        <w:overflowPunct/>
        <w:topLinePunct w:val="0"/>
        <w:bidi w:val="0"/>
        <w:snapToGrid/>
        <w:spacing w:line="400" w:lineRule="exact"/>
        <w:ind w:firstLine="480" w:firstLineChars="200"/>
        <w:textAlignment w:val="auto"/>
        <w:rPr>
          <w:rStyle w:val="309"/>
          <w:rFonts w:hint="eastAsia" w:ascii="宋体" w:hAnsi="宋体" w:eastAsia="宋体" w:cs="宋体"/>
          <w:b w:val="0"/>
          <w:color w:val="auto"/>
          <w:sz w:val="24"/>
          <w:szCs w:val="24"/>
        </w:rPr>
      </w:pPr>
      <w:bookmarkStart w:id="192" w:name="_Toc467877827"/>
      <w:bookmarkStart w:id="193" w:name="_Toc419045090"/>
      <w:bookmarkStart w:id="194" w:name="_Toc26376"/>
      <w:bookmarkStart w:id="195" w:name="_Toc28172"/>
      <w:bookmarkStart w:id="196" w:name="_Toc19965"/>
      <w:r>
        <w:rPr>
          <w:rStyle w:val="309"/>
          <w:rFonts w:hint="eastAsia" w:ascii="宋体" w:hAnsi="宋体" w:eastAsia="宋体" w:cs="宋体"/>
          <w:b w:val="0"/>
          <w:bCs w:val="0"/>
          <w:color w:val="auto"/>
          <w:sz w:val="24"/>
          <w:szCs w:val="24"/>
        </w:rPr>
        <w:t>6.2合同</w:t>
      </w:r>
      <w:r>
        <w:rPr>
          <w:rStyle w:val="309"/>
          <w:rFonts w:hint="eastAsia" w:ascii="宋体" w:hAnsi="宋体" w:eastAsia="宋体" w:cs="宋体"/>
          <w:b w:val="0"/>
          <w:color w:val="auto"/>
          <w:sz w:val="24"/>
          <w:szCs w:val="24"/>
        </w:rPr>
        <w:t>解除</w:t>
      </w:r>
      <w:bookmarkEnd w:id="192"/>
      <w:bookmarkEnd w:id="193"/>
    </w:p>
    <w:bookmarkEnd w:id="194"/>
    <w:bookmarkEnd w:id="195"/>
    <w:bookmarkEnd w:id="196"/>
    <w:p w14:paraId="639FC4FE">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6.2.1委托人与咨询人协商一致，可以解除合同。</w:t>
      </w:r>
    </w:p>
    <w:p w14:paraId="334798E7">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6.2.2有下列情形之一的，合同当事人一方或双方可以解除合同：</w:t>
      </w:r>
    </w:p>
    <w:p w14:paraId="4162E1F3">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（1）咨询人将本合同约定的工程造价咨询服务工作全部或部分转包给他人，委托人可以解除合同；</w:t>
      </w:r>
    </w:p>
    <w:p w14:paraId="459CC2A3">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（2）咨询人提供的造价咨询服务不符合合同约定的要求，经委托人催告仍不能达到合同约定要求的，委托人可以解除合同；</w:t>
      </w:r>
    </w:p>
    <w:p w14:paraId="04BDE228">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（3）委托人未按合同约定支付服务酬金，经咨询人催告后，在28天内仍未支付的，咨询人可以解除合同；</w:t>
      </w:r>
    </w:p>
    <w:p w14:paraId="177C0338">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（4）因不可抗力致使合同无法履行；</w:t>
      </w:r>
    </w:p>
    <w:p w14:paraId="7B4082F8">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（5）因一方违约致使合同无法实际履行或实际履行已无必要。</w:t>
      </w:r>
    </w:p>
    <w:p w14:paraId="415E8135">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除上述情形外，双方可以根据委托的服务范围及工作内容，在专用条件中约定解除合同的其他条件。</w:t>
      </w:r>
    </w:p>
    <w:p w14:paraId="7D0DECE4">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6.2.3任何一方提出解除合同的，应提前30天书面通知对方。</w:t>
      </w:r>
    </w:p>
    <w:p w14:paraId="3973EA72">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6.2.4合同解除后，委托人应按照合同约定向咨询人支付已完成部分的咨询服务酬金。</w:t>
      </w:r>
    </w:p>
    <w:p w14:paraId="56D4C1BA">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14:paraId="27D85869">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smallCaps/>
          <w:color w:val="auto"/>
          <w:sz w:val="24"/>
          <w:szCs w:val="24"/>
        </w:rPr>
      </w:pPr>
      <w:r>
        <w:rPr>
          <w:rFonts w:hint="eastAsia" w:ascii="宋体" w:hAnsi="宋体" w:eastAsia="宋体" w:cs="宋体"/>
          <w:color w:val="auto"/>
          <w:sz w:val="24"/>
          <w:szCs w:val="24"/>
        </w:rPr>
        <w:t>6.2.5本合同解除后，本合同约定的有关结算、争议解决方式的条款仍然有效。</w:t>
      </w:r>
    </w:p>
    <w:p w14:paraId="6FD3530A">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b/>
          <w:bCs/>
          <w:smallCaps/>
          <w:color w:val="auto"/>
          <w:sz w:val="24"/>
          <w:szCs w:val="24"/>
        </w:rPr>
      </w:pPr>
      <w:bookmarkStart w:id="197" w:name="_Toc26058"/>
      <w:bookmarkStart w:id="198" w:name="_Toc4974"/>
      <w:bookmarkStart w:id="199" w:name="_Toc32172"/>
      <w:bookmarkStart w:id="200" w:name="_Toc467877828"/>
      <w:r>
        <w:rPr>
          <w:rStyle w:val="309"/>
          <w:rFonts w:hint="eastAsia" w:ascii="宋体" w:hAnsi="宋体" w:eastAsia="宋体" w:cs="宋体"/>
          <w:b w:val="0"/>
          <w:color w:val="auto"/>
          <w:sz w:val="24"/>
          <w:szCs w:val="24"/>
        </w:rPr>
        <w:t>6.3合同终止</w:t>
      </w:r>
      <w:bookmarkEnd w:id="197"/>
      <w:bookmarkEnd w:id="198"/>
      <w:bookmarkEnd w:id="199"/>
      <w:bookmarkEnd w:id="200"/>
    </w:p>
    <w:p w14:paraId="75F78E47">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smallCaps/>
          <w:color w:val="auto"/>
          <w:sz w:val="24"/>
          <w:szCs w:val="24"/>
        </w:rPr>
        <w:t>除合同解除外，以下条</w:t>
      </w:r>
      <w:r>
        <w:rPr>
          <w:rFonts w:hint="eastAsia" w:ascii="宋体" w:hAnsi="宋体" w:eastAsia="宋体" w:cs="宋体"/>
          <w:color w:val="auto"/>
          <w:sz w:val="24"/>
          <w:szCs w:val="24"/>
        </w:rPr>
        <w:t>件全部满足时，本合同终止：</w:t>
      </w:r>
    </w:p>
    <w:p w14:paraId="12C1E4FF">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（1）咨询人完成本合同约定的全部工作；</w:t>
      </w:r>
    </w:p>
    <w:p w14:paraId="02ABEE0C">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（2）委托人与咨询人结清并支付酬金；</w:t>
      </w:r>
    </w:p>
    <w:p w14:paraId="56B1281D">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（3）咨询人将委托人提供的资料交还。</w:t>
      </w:r>
    </w:p>
    <w:p w14:paraId="36799C1F">
      <w:pPr>
        <w:keepNext w:val="0"/>
        <w:keepLines w:val="0"/>
        <w:pageBreakBefore w:val="0"/>
        <w:widowControl/>
        <w:kinsoku/>
        <w:wordWrap/>
        <w:overflowPunct/>
        <w:topLinePunct w:val="0"/>
        <w:bidi w:val="0"/>
        <w:snapToGrid/>
        <w:spacing w:line="400" w:lineRule="exact"/>
        <w:ind w:firstLine="482" w:firstLineChars="200"/>
        <w:textAlignment w:val="auto"/>
        <w:rPr>
          <w:rStyle w:val="308"/>
          <w:rFonts w:hint="eastAsia" w:ascii="宋体" w:hAnsi="宋体" w:eastAsia="宋体" w:cs="宋体"/>
          <w:bCs w:val="0"/>
          <w:color w:val="auto"/>
          <w:sz w:val="24"/>
          <w:szCs w:val="24"/>
        </w:rPr>
      </w:pPr>
      <w:bookmarkStart w:id="201" w:name="_Toc467877829"/>
      <w:bookmarkStart w:id="202" w:name="_Toc419045091"/>
      <w:bookmarkStart w:id="203" w:name="_Toc32479"/>
      <w:bookmarkStart w:id="204" w:name="_Toc14723"/>
      <w:bookmarkStart w:id="205" w:name="_Toc14326"/>
      <w:r>
        <w:rPr>
          <w:rStyle w:val="308"/>
          <w:rFonts w:hint="eastAsia" w:ascii="宋体" w:hAnsi="宋体" w:eastAsia="宋体" w:cs="宋体"/>
          <w:bCs w:val="0"/>
          <w:color w:val="auto"/>
          <w:sz w:val="24"/>
          <w:szCs w:val="24"/>
        </w:rPr>
        <w:t>7.争议解决</w:t>
      </w:r>
      <w:bookmarkEnd w:id="150"/>
      <w:bookmarkEnd w:id="201"/>
      <w:bookmarkEnd w:id="202"/>
    </w:p>
    <w:bookmarkEnd w:id="203"/>
    <w:bookmarkEnd w:id="204"/>
    <w:bookmarkEnd w:id="205"/>
    <w:p w14:paraId="1D7C5FA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Style w:val="309"/>
          <w:rFonts w:hint="eastAsia" w:ascii="宋体" w:hAnsi="宋体" w:eastAsia="宋体" w:cs="宋体"/>
          <w:b w:val="0"/>
          <w:smallCaps/>
          <w:color w:val="auto"/>
          <w:sz w:val="24"/>
          <w:szCs w:val="24"/>
        </w:rPr>
      </w:pPr>
      <w:bookmarkStart w:id="206" w:name="_Toc467877830"/>
      <w:bookmarkStart w:id="207" w:name="_Toc419045092"/>
      <w:bookmarkStart w:id="208" w:name="_Toc18056"/>
      <w:bookmarkStart w:id="209" w:name="_Toc4681"/>
      <w:bookmarkStart w:id="210" w:name="_Toc27185"/>
      <w:r>
        <w:rPr>
          <w:rStyle w:val="309"/>
          <w:rFonts w:hint="eastAsia" w:ascii="宋体" w:hAnsi="宋体" w:eastAsia="宋体" w:cs="宋体"/>
          <w:b w:val="0"/>
          <w:smallCaps/>
          <w:color w:val="auto"/>
          <w:sz w:val="24"/>
          <w:szCs w:val="24"/>
        </w:rPr>
        <w:t>7.1协商</w:t>
      </w:r>
      <w:bookmarkEnd w:id="206"/>
      <w:bookmarkEnd w:id="207"/>
    </w:p>
    <w:bookmarkEnd w:id="208"/>
    <w:bookmarkEnd w:id="209"/>
    <w:bookmarkEnd w:id="210"/>
    <w:p w14:paraId="1FE7CFB2">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双方应本着诚实信用的原则协商解决本合同履行过程中发生的争议。</w:t>
      </w:r>
      <w:bookmarkStart w:id="211" w:name="37"/>
    </w:p>
    <w:p w14:paraId="60624503">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Style w:val="309"/>
          <w:rFonts w:hint="eastAsia" w:ascii="宋体" w:hAnsi="宋体" w:eastAsia="宋体" w:cs="宋体"/>
          <w:b w:val="0"/>
          <w:smallCaps/>
          <w:color w:val="auto"/>
          <w:sz w:val="24"/>
          <w:szCs w:val="24"/>
        </w:rPr>
      </w:pPr>
      <w:bookmarkStart w:id="212" w:name="_Toc419045093"/>
      <w:bookmarkStart w:id="213" w:name="_Toc467877831"/>
      <w:bookmarkStart w:id="214" w:name="_Toc15482"/>
      <w:bookmarkStart w:id="215" w:name="_Toc22949"/>
      <w:bookmarkStart w:id="216" w:name="_Toc24155"/>
      <w:r>
        <w:rPr>
          <w:rStyle w:val="309"/>
          <w:rFonts w:hint="eastAsia" w:ascii="宋体" w:hAnsi="宋体" w:eastAsia="宋体" w:cs="宋体"/>
          <w:b w:val="0"/>
          <w:smallCaps/>
          <w:color w:val="auto"/>
          <w:sz w:val="24"/>
          <w:szCs w:val="24"/>
        </w:rPr>
        <w:t>7.2</w:t>
      </w:r>
      <w:bookmarkEnd w:id="211"/>
      <w:r>
        <w:rPr>
          <w:rStyle w:val="309"/>
          <w:rFonts w:hint="eastAsia" w:ascii="宋体" w:hAnsi="宋体" w:eastAsia="宋体" w:cs="宋体"/>
          <w:b w:val="0"/>
          <w:smallCaps/>
          <w:color w:val="auto"/>
          <w:sz w:val="24"/>
          <w:szCs w:val="24"/>
        </w:rPr>
        <w:t>调解</w:t>
      </w:r>
      <w:bookmarkEnd w:id="212"/>
      <w:bookmarkEnd w:id="213"/>
    </w:p>
    <w:bookmarkEnd w:id="214"/>
    <w:bookmarkEnd w:id="215"/>
    <w:bookmarkEnd w:id="216"/>
    <w:p w14:paraId="66F945E5">
      <w:pPr>
        <w:pStyle w:val="307"/>
        <w:keepNext w:val="0"/>
        <w:keepLines w:val="0"/>
        <w:pageBreakBefore w:val="0"/>
        <w:widowControl/>
        <w:kinsoku/>
        <w:wordWrap/>
        <w:overflowPunct/>
        <w:topLinePunct w:val="0"/>
        <w:bidi w:val="0"/>
        <w:snapToGrid/>
        <w:spacing w:line="400" w:lineRule="exact"/>
        <w:ind w:firstLine="480" w:firstLineChars="200"/>
        <w:jc w:val="left"/>
        <w:textAlignment w:val="auto"/>
        <w:rPr>
          <w:rFonts w:hint="eastAsia" w:ascii="宋体" w:hAnsi="宋体" w:eastAsia="宋体" w:cs="宋体"/>
          <w:b/>
          <w:bCs/>
          <w:color w:val="auto"/>
          <w:sz w:val="24"/>
          <w:szCs w:val="24"/>
        </w:rPr>
      </w:pPr>
      <w:r>
        <w:rPr>
          <w:rFonts w:hint="eastAsia" w:ascii="宋体" w:hAnsi="宋体" w:eastAsia="宋体" w:cs="宋体"/>
          <w:color w:val="auto"/>
          <w:sz w:val="24"/>
          <w:szCs w:val="24"/>
        </w:rPr>
        <w:t>如果双方不能在14日内或双方商定的其他时间内解决本合同争议，可以将其提交给专用条件约定的或事后达成协议的调解人进行调解。</w:t>
      </w:r>
    </w:p>
    <w:p w14:paraId="4A034082">
      <w:pPr>
        <w:keepNext w:val="0"/>
        <w:keepLines w:val="0"/>
        <w:pageBreakBefore w:val="0"/>
        <w:widowControl/>
        <w:kinsoku/>
        <w:wordWrap/>
        <w:overflowPunct/>
        <w:topLinePunct w:val="0"/>
        <w:bidi w:val="0"/>
        <w:snapToGrid/>
        <w:spacing w:line="400" w:lineRule="exact"/>
        <w:ind w:firstLine="480" w:firstLineChars="200"/>
        <w:textAlignment w:val="auto"/>
        <w:rPr>
          <w:rStyle w:val="309"/>
          <w:rFonts w:hint="eastAsia" w:ascii="宋体" w:hAnsi="宋体" w:eastAsia="宋体" w:cs="宋体"/>
          <w:b w:val="0"/>
          <w:smallCaps/>
          <w:color w:val="auto"/>
          <w:sz w:val="24"/>
          <w:szCs w:val="24"/>
        </w:rPr>
      </w:pPr>
      <w:bookmarkStart w:id="217" w:name="38"/>
      <w:bookmarkStart w:id="218" w:name="_Toc419045094"/>
      <w:bookmarkStart w:id="219" w:name="_Toc467877832"/>
      <w:bookmarkStart w:id="220" w:name="_Toc27332"/>
      <w:bookmarkStart w:id="221" w:name="_Toc5098"/>
      <w:bookmarkStart w:id="222" w:name="_Toc29008"/>
      <w:r>
        <w:rPr>
          <w:rStyle w:val="309"/>
          <w:rFonts w:hint="eastAsia" w:ascii="宋体" w:hAnsi="宋体" w:eastAsia="宋体" w:cs="宋体"/>
          <w:b w:val="0"/>
          <w:smallCaps/>
          <w:color w:val="auto"/>
          <w:sz w:val="24"/>
          <w:szCs w:val="24"/>
        </w:rPr>
        <w:t>7.</w:t>
      </w:r>
      <w:bookmarkEnd w:id="217"/>
      <w:r>
        <w:rPr>
          <w:rStyle w:val="309"/>
          <w:rFonts w:hint="eastAsia" w:ascii="宋体" w:hAnsi="宋体" w:eastAsia="宋体" w:cs="宋体"/>
          <w:b w:val="0"/>
          <w:smallCaps/>
          <w:color w:val="auto"/>
          <w:sz w:val="24"/>
          <w:szCs w:val="24"/>
        </w:rPr>
        <w:t>3仲裁或诉讼</w:t>
      </w:r>
      <w:bookmarkEnd w:id="218"/>
      <w:bookmarkEnd w:id="219"/>
    </w:p>
    <w:bookmarkEnd w:id="220"/>
    <w:bookmarkEnd w:id="221"/>
    <w:bookmarkEnd w:id="222"/>
    <w:p w14:paraId="6BAA745A">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双方均有权不经调解直接向专用条件约定的仲裁机构申请仲裁或向有管辖权的人民法院提起诉讼。</w:t>
      </w:r>
    </w:p>
    <w:p w14:paraId="7D0EFF77">
      <w:pPr>
        <w:keepNext w:val="0"/>
        <w:keepLines w:val="0"/>
        <w:pageBreakBefore w:val="0"/>
        <w:widowControl/>
        <w:kinsoku/>
        <w:wordWrap/>
        <w:overflowPunct/>
        <w:topLinePunct w:val="0"/>
        <w:bidi w:val="0"/>
        <w:snapToGrid/>
        <w:spacing w:line="400" w:lineRule="exact"/>
        <w:ind w:firstLine="482" w:firstLineChars="200"/>
        <w:textAlignment w:val="auto"/>
        <w:rPr>
          <w:rStyle w:val="308"/>
          <w:rFonts w:hint="eastAsia" w:ascii="宋体" w:hAnsi="宋体" w:eastAsia="宋体" w:cs="宋体"/>
          <w:color w:val="auto"/>
          <w:sz w:val="24"/>
          <w:szCs w:val="24"/>
        </w:rPr>
      </w:pPr>
      <w:bookmarkStart w:id="223" w:name="_Toc419045095"/>
      <w:bookmarkStart w:id="224" w:name="_Toc467877833"/>
      <w:bookmarkStart w:id="225" w:name="_Toc834"/>
      <w:bookmarkStart w:id="226" w:name="_Toc3863"/>
      <w:bookmarkStart w:id="227" w:name="_Toc22122"/>
      <w:r>
        <w:rPr>
          <w:rStyle w:val="308"/>
          <w:rFonts w:hint="eastAsia" w:ascii="宋体" w:hAnsi="宋体" w:eastAsia="宋体" w:cs="宋体"/>
          <w:color w:val="auto"/>
          <w:sz w:val="24"/>
          <w:szCs w:val="24"/>
        </w:rPr>
        <w:t>8.其他</w:t>
      </w:r>
      <w:bookmarkEnd w:id="223"/>
      <w:bookmarkEnd w:id="224"/>
    </w:p>
    <w:bookmarkEnd w:id="225"/>
    <w:bookmarkEnd w:id="226"/>
    <w:bookmarkEnd w:id="227"/>
    <w:p w14:paraId="753BAE9F">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228" w:name="39"/>
      <w:bookmarkStart w:id="229" w:name="_Toc419045096"/>
      <w:bookmarkStart w:id="230" w:name="_Toc20790"/>
      <w:bookmarkStart w:id="231" w:name="_Toc4582"/>
      <w:bookmarkStart w:id="232" w:name="_Toc467877834"/>
      <w:bookmarkStart w:id="233" w:name="_Toc18492"/>
      <w:r>
        <w:rPr>
          <w:rFonts w:hint="eastAsia" w:ascii="宋体" w:hAnsi="宋体" w:eastAsia="宋体" w:cs="宋体"/>
          <w:b w:val="0"/>
          <w:smallCaps/>
          <w:color w:val="auto"/>
          <w:sz w:val="24"/>
          <w:szCs w:val="24"/>
        </w:rPr>
        <w:t>8.1</w:t>
      </w:r>
      <w:bookmarkEnd w:id="228"/>
      <w:r>
        <w:rPr>
          <w:rFonts w:hint="eastAsia" w:ascii="宋体" w:hAnsi="宋体" w:eastAsia="宋体" w:cs="宋体"/>
          <w:b w:val="0"/>
          <w:color w:val="auto"/>
          <w:sz w:val="24"/>
          <w:szCs w:val="24"/>
        </w:rPr>
        <w:t>考察及相关费用</w:t>
      </w:r>
      <w:bookmarkEnd w:id="229"/>
      <w:bookmarkEnd w:id="230"/>
      <w:bookmarkEnd w:id="231"/>
      <w:bookmarkEnd w:id="232"/>
      <w:bookmarkEnd w:id="233"/>
    </w:p>
    <w:p w14:paraId="3F9AD97A">
      <w:pPr>
        <w:keepNext w:val="0"/>
        <w:keepLines w:val="0"/>
        <w:pageBreakBefore w:val="0"/>
        <w:widowControl/>
        <w:kinsoku/>
        <w:wordWrap/>
        <w:overflowPunct/>
        <w:topLinePunct w:val="0"/>
        <w:bidi w:val="0"/>
        <w:snapToGrid/>
        <w:spacing w:line="40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除专用条件另有约定外，咨询人经委托人同意进行考察发生的费用由委托人审核后另行支付。差旅费及相关费用的承担由双方在专用条件中约定。</w:t>
      </w:r>
    </w:p>
    <w:p w14:paraId="7D076652">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234" w:name="_Toc467877835"/>
      <w:bookmarkStart w:id="235" w:name="_Toc27278"/>
      <w:bookmarkStart w:id="236" w:name="_Toc19346"/>
      <w:bookmarkStart w:id="237" w:name="_Toc6738"/>
      <w:r>
        <w:rPr>
          <w:rFonts w:hint="eastAsia" w:ascii="宋体" w:hAnsi="宋体" w:eastAsia="宋体" w:cs="宋体"/>
          <w:b w:val="0"/>
          <w:color w:val="auto"/>
          <w:sz w:val="24"/>
          <w:szCs w:val="24"/>
        </w:rPr>
        <w:t>8.2奖励</w:t>
      </w:r>
      <w:bookmarkEnd w:id="234"/>
      <w:bookmarkEnd w:id="235"/>
      <w:bookmarkEnd w:id="236"/>
      <w:bookmarkEnd w:id="237"/>
    </w:p>
    <w:p w14:paraId="08786897">
      <w:pPr>
        <w:keepNext w:val="0"/>
        <w:keepLines w:val="0"/>
        <w:pageBreakBefore w:val="0"/>
        <w:widowControl/>
        <w:kinsoku/>
        <w:wordWrap/>
        <w:overflowPunct/>
        <w:topLinePunct w:val="0"/>
        <w:bidi w:val="0"/>
        <w:snapToGrid/>
        <w:spacing w:line="40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对于咨询人在服务过程中提出合理化建议，使委托人获得效益的，双方在专用条件中约定奖励金额的确定方法。奖励金额在合理化建议被采纳后，与最近一期的正常工作酬金同期支付。</w:t>
      </w:r>
    </w:p>
    <w:p w14:paraId="622FE7E2">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238" w:name="_Toc20805"/>
      <w:bookmarkStart w:id="239" w:name="_Toc17053"/>
      <w:bookmarkStart w:id="240" w:name="_Toc27656"/>
      <w:bookmarkStart w:id="241" w:name="_Toc467877836"/>
      <w:r>
        <w:rPr>
          <w:rFonts w:hint="eastAsia" w:ascii="宋体" w:hAnsi="宋体" w:eastAsia="宋体" w:cs="宋体"/>
          <w:b w:val="0"/>
          <w:color w:val="auto"/>
          <w:sz w:val="24"/>
          <w:szCs w:val="24"/>
        </w:rPr>
        <w:t>8.3保密</w:t>
      </w:r>
      <w:bookmarkEnd w:id="238"/>
      <w:bookmarkEnd w:id="239"/>
      <w:bookmarkEnd w:id="240"/>
      <w:bookmarkEnd w:id="241"/>
    </w:p>
    <w:p w14:paraId="07D1979B">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在本合同履行期间或专用条件约定的期限内，双方不得泄露对方申明的保密资料，亦不得泄露与实施工程有关的第三人所提供的保密资料。保密事项在专用条件中约定。</w:t>
      </w:r>
    </w:p>
    <w:p w14:paraId="52248289">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b/>
          <w:color w:val="auto"/>
          <w:sz w:val="24"/>
          <w:szCs w:val="24"/>
        </w:rPr>
      </w:pPr>
      <w:bookmarkStart w:id="242" w:name="_Toc419045097"/>
      <w:bookmarkStart w:id="243" w:name="_Toc30729"/>
      <w:bookmarkStart w:id="244" w:name="_Toc29577"/>
      <w:bookmarkStart w:id="245" w:name="_Toc467877837"/>
      <w:bookmarkStart w:id="246" w:name="_Toc14771"/>
      <w:r>
        <w:rPr>
          <w:rStyle w:val="309"/>
          <w:rFonts w:hint="eastAsia" w:ascii="宋体" w:hAnsi="宋体" w:eastAsia="宋体" w:cs="宋体"/>
          <w:b w:val="0"/>
          <w:color w:val="auto"/>
          <w:sz w:val="24"/>
          <w:szCs w:val="24"/>
        </w:rPr>
        <w:t>8.4</w:t>
      </w:r>
      <w:bookmarkEnd w:id="242"/>
      <w:r>
        <w:rPr>
          <w:rStyle w:val="309"/>
          <w:rFonts w:hint="eastAsia" w:ascii="宋体" w:hAnsi="宋体" w:eastAsia="宋体" w:cs="宋体"/>
          <w:b w:val="0"/>
          <w:color w:val="auto"/>
          <w:sz w:val="24"/>
          <w:szCs w:val="24"/>
        </w:rPr>
        <w:t>联络</w:t>
      </w:r>
      <w:bookmarkEnd w:id="243"/>
      <w:bookmarkEnd w:id="244"/>
      <w:bookmarkEnd w:id="245"/>
      <w:bookmarkEnd w:id="246"/>
    </w:p>
    <w:p w14:paraId="10D725D6">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8.4.1与合同有关的通知、指示、要求、决定等，均应采用书面形式，并应在专用条件约定的期限内送达接收人和送达地点。</w:t>
      </w:r>
    </w:p>
    <w:p w14:paraId="5C7B4ADC">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8.4.2委托人和咨询人应在专用条件中约定各自的送达接收人、送达地点、电子邮箱。任何一方指定的接收人或送达地点或电子邮箱发生变动的，应提前3天以书面形式通知对方，否则视为未发生变动。</w:t>
      </w:r>
    </w:p>
    <w:p w14:paraId="0793A9B3">
      <w:pPr>
        <w:keepNext w:val="0"/>
        <w:keepLines w:val="0"/>
        <w:pageBreakBefore w:val="0"/>
        <w:widowControl/>
        <w:tabs>
          <w:tab w:val="left" w:pos="5085"/>
        </w:tabs>
        <w:kinsoku/>
        <w:wordWrap/>
        <w:overflowPunct/>
        <w:topLinePunct w:val="0"/>
        <w:bidi w:val="0"/>
        <w:snapToGrid/>
        <w:spacing w:line="400" w:lineRule="exact"/>
        <w:ind w:firstLine="480" w:firstLineChars="200"/>
        <w:textAlignment w:val="auto"/>
        <w:rPr>
          <w:rStyle w:val="309"/>
          <w:rFonts w:hint="eastAsia" w:ascii="宋体" w:hAnsi="宋体" w:eastAsia="宋体" w:cs="宋体"/>
          <w:b w:val="0"/>
          <w:bCs w:val="0"/>
          <w:color w:val="auto"/>
          <w:kern w:val="0"/>
          <w:sz w:val="24"/>
          <w:szCs w:val="24"/>
        </w:rPr>
      </w:pPr>
      <w:r>
        <w:rPr>
          <w:rFonts w:hint="eastAsia" w:ascii="宋体" w:hAnsi="宋体" w:eastAsia="宋体" w:cs="宋体"/>
          <w:color w:val="auto"/>
          <w:sz w:val="24"/>
          <w:szCs w:val="24"/>
        </w:rPr>
        <w:t>8.4.3委托人和咨询人应当及时签收另一方送达至送达地点和指定接收人的往来函件，如确有充分证据证明一方无正当理由拒不签收的，视为认可往来函件的内容。</w:t>
      </w:r>
    </w:p>
    <w:p w14:paraId="1DED547E">
      <w:pPr>
        <w:pStyle w:val="37"/>
        <w:keepNext w:val="0"/>
        <w:keepLines w:val="0"/>
        <w:pageBreakBefore w:val="0"/>
        <w:widowControl/>
        <w:kinsoku/>
        <w:wordWrap/>
        <w:overflowPunct/>
        <w:topLinePunct w:val="0"/>
        <w:bidi w:val="0"/>
        <w:snapToGrid/>
        <w:spacing w:before="60" w:line="400" w:lineRule="exact"/>
        <w:ind w:firstLine="480" w:firstLineChars="200"/>
        <w:jc w:val="left"/>
        <w:textAlignment w:val="auto"/>
        <w:rPr>
          <w:rFonts w:hint="eastAsia" w:ascii="宋体" w:hAnsi="宋体" w:eastAsia="宋体" w:cs="宋体"/>
          <w:b w:val="0"/>
          <w:color w:val="auto"/>
          <w:sz w:val="24"/>
          <w:szCs w:val="24"/>
        </w:rPr>
      </w:pPr>
      <w:bookmarkStart w:id="247" w:name="_Toc32153"/>
      <w:bookmarkStart w:id="248" w:name="_Toc28429"/>
      <w:bookmarkStart w:id="249" w:name="_Toc467877838"/>
      <w:bookmarkStart w:id="250" w:name="_Toc15640"/>
      <w:r>
        <w:rPr>
          <w:rFonts w:hint="eastAsia" w:ascii="宋体" w:hAnsi="宋体" w:eastAsia="宋体" w:cs="宋体"/>
          <w:b w:val="0"/>
          <w:color w:val="auto"/>
          <w:sz w:val="24"/>
          <w:szCs w:val="24"/>
        </w:rPr>
        <w:t>8.5知识产权</w:t>
      </w:r>
      <w:bookmarkEnd w:id="247"/>
      <w:bookmarkEnd w:id="248"/>
      <w:bookmarkEnd w:id="249"/>
      <w:bookmarkEnd w:id="250"/>
    </w:p>
    <w:p w14:paraId="3010AE34">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14:paraId="22F3506C">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14:paraId="1D9150B5">
      <w:pPr>
        <w:keepNext w:val="0"/>
        <w:keepLines w:val="0"/>
        <w:pageBreakBefore w:val="0"/>
        <w:widowControl/>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双方保证在履行本合同过程中不侵犯对方及第三方的知识产权。因咨询人侵犯他人知识产权所引起的责任，由咨询人承担；因委托人提供的基础资料导致侵权的，由委托人承担责任。</w:t>
      </w:r>
    </w:p>
    <w:p w14:paraId="31C1FD53">
      <w:pPr>
        <w:keepNext w:val="0"/>
        <w:keepLines w:val="0"/>
        <w:pageBreakBefore w:val="0"/>
        <w:widowControl/>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除专用条件另有约定外，双方均有权在履行本合同保密义务并且不损害对方利益的情况下，将履行本合同形成的有关成果文件用于企业宣传、申报奖项以及接受上级主管部门的检查。</w:t>
      </w:r>
    </w:p>
    <w:p w14:paraId="4110E4C3">
      <w:pPr>
        <w:pStyle w:val="3"/>
        <w:spacing w:before="120" w:after="120" w:line="360" w:lineRule="auto"/>
        <w:jc w:val="center"/>
        <w:rPr>
          <w:rFonts w:hint="eastAsia" w:ascii="宋体" w:hAnsi="宋体" w:eastAsia="宋体" w:cs="宋体"/>
          <w:color w:val="auto"/>
          <w:sz w:val="32"/>
          <w:szCs w:val="32"/>
        </w:rPr>
      </w:pPr>
      <w:bookmarkStart w:id="251" w:name="_Toc20310"/>
      <w:bookmarkStart w:id="252" w:name="_Toc467877839"/>
      <w:bookmarkStart w:id="253" w:name="_Toc1451"/>
      <w:r>
        <w:rPr>
          <w:rFonts w:hint="eastAsia" w:ascii="宋体" w:hAnsi="宋体" w:eastAsia="宋体" w:cs="宋体"/>
          <w:color w:val="auto"/>
          <w:sz w:val="32"/>
          <w:szCs w:val="32"/>
        </w:rPr>
        <w:t>第三部分  专用条件</w:t>
      </w:r>
      <w:bookmarkEnd w:id="251"/>
      <w:bookmarkEnd w:id="252"/>
      <w:bookmarkEnd w:id="253"/>
      <w:bookmarkStart w:id="254" w:name="45"/>
    </w:p>
    <w:bookmarkEnd w:id="254"/>
    <w:p w14:paraId="43C74C66">
      <w:pPr>
        <w:pStyle w:val="47"/>
        <w:keepNext w:val="0"/>
        <w:keepLines w:val="0"/>
        <w:pageBreakBefore w:val="0"/>
        <w:widowControl/>
        <w:kinsoku/>
        <w:wordWrap/>
        <w:overflowPunct/>
        <w:topLinePunct w:val="0"/>
        <w:autoSpaceDE/>
        <w:autoSpaceDN/>
        <w:bidi w:val="0"/>
        <w:adjustRightInd/>
        <w:snapToGrid/>
        <w:spacing w:before="0" w:after="0" w:line="420" w:lineRule="exact"/>
        <w:ind w:firstLine="482" w:firstLineChars="200"/>
        <w:jc w:val="left"/>
        <w:textAlignment w:val="auto"/>
        <w:rPr>
          <w:rFonts w:hint="eastAsia" w:ascii="宋体" w:hAnsi="宋体" w:eastAsia="宋体" w:cs="宋体"/>
          <w:color w:val="auto"/>
          <w:sz w:val="24"/>
          <w:szCs w:val="24"/>
        </w:rPr>
      </w:pPr>
      <w:bookmarkStart w:id="255" w:name="_Toc467877840"/>
      <w:bookmarkStart w:id="256" w:name="_Toc419045099"/>
      <w:bookmarkStart w:id="257" w:name="_Toc31982"/>
      <w:bookmarkStart w:id="258" w:name="_Toc11115"/>
      <w:bookmarkStart w:id="259" w:name="_Toc11232"/>
      <w:r>
        <w:rPr>
          <w:rFonts w:hint="eastAsia" w:ascii="宋体" w:hAnsi="宋体" w:eastAsia="宋体" w:cs="宋体"/>
          <w:color w:val="auto"/>
          <w:sz w:val="24"/>
          <w:szCs w:val="24"/>
        </w:rPr>
        <w:t>1.词语定义、语言、解释顺序与适用法律</w:t>
      </w:r>
      <w:bookmarkEnd w:id="255"/>
      <w:bookmarkEnd w:id="256"/>
      <w:bookmarkEnd w:id="257"/>
      <w:bookmarkEnd w:id="258"/>
      <w:bookmarkEnd w:id="259"/>
    </w:p>
    <w:p w14:paraId="441E716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260" w:name="_Toc467877841"/>
      <w:bookmarkStart w:id="261" w:name="_Toc419045101"/>
      <w:bookmarkStart w:id="262" w:name="_Toc31610"/>
      <w:bookmarkStart w:id="263" w:name="_Toc4325"/>
      <w:bookmarkStart w:id="264" w:name="_Toc28032"/>
      <w:r>
        <w:rPr>
          <w:rStyle w:val="309"/>
          <w:rFonts w:hint="eastAsia" w:ascii="宋体" w:hAnsi="宋体" w:eastAsia="宋体" w:cs="宋体"/>
          <w:b w:val="0"/>
          <w:color w:val="auto"/>
          <w:sz w:val="24"/>
          <w:szCs w:val="24"/>
        </w:rPr>
        <w:t>1.2语言</w:t>
      </w:r>
      <w:bookmarkEnd w:id="260"/>
      <w:bookmarkEnd w:id="261"/>
    </w:p>
    <w:bookmarkEnd w:id="262"/>
    <w:bookmarkEnd w:id="263"/>
    <w:bookmarkEnd w:id="264"/>
    <w:p w14:paraId="31CB5CEB">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本合同文件除使用中文外，还可用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DFA0A3F">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265" w:name="_Toc5594"/>
      <w:bookmarkStart w:id="266" w:name="_Toc467877842"/>
      <w:bookmarkStart w:id="267" w:name="_Toc16808"/>
      <w:bookmarkStart w:id="268" w:name="_Toc5276"/>
      <w:r>
        <w:rPr>
          <w:rFonts w:hint="eastAsia" w:ascii="宋体" w:hAnsi="宋体" w:eastAsia="宋体" w:cs="宋体"/>
          <w:b w:val="0"/>
          <w:color w:val="auto"/>
          <w:sz w:val="24"/>
          <w:szCs w:val="24"/>
        </w:rPr>
        <w:t>1.3合同文件的优先顺序</w:t>
      </w:r>
      <w:bookmarkEnd w:id="265"/>
      <w:bookmarkEnd w:id="266"/>
      <w:bookmarkEnd w:id="267"/>
      <w:bookmarkEnd w:id="268"/>
    </w:p>
    <w:p w14:paraId="7A7A736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本合同文件的解释顺序为：</w:t>
      </w:r>
    </w:p>
    <w:p w14:paraId="559C198E">
      <w:pPr>
        <w:pStyle w:val="307"/>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1.协议书</w:t>
      </w:r>
    </w:p>
    <w:p w14:paraId="0E16EE66">
      <w:pPr>
        <w:pStyle w:val="307"/>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val="en-US" w:eastAsia="zh-CN"/>
        </w:rPr>
        <w:t>成交</w:t>
      </w:r>
      <w:r>
        <w:rPr>
          <w:rFonts w:hint="eastAsia" w:ascii="宋体" w:hAnsi="宋体" w:eastAsia="宋体" w:cs="宋体"/>
          <w:bCs/>
          <w:color w:val="auto"/>
          <w:sz w:val="24"/>
          <w:szCs w:val="24"/>
        </w:rPr>
        <w:t>通知书；</w:t>
      </w:r>
    </w:p>
    <w:p w14:paraId="6E1C4E21">
      <w:pPr>
        <w:pStyle w:val="307"/>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3.专用条件及附录；</w:t>
      </w:r>
    </w:p>
    <w:p w14:paraId="25A71FA4">
      <w:pPr>
        <w:pStyle w:val="307"/>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4.通用条件；</w:t>
      </w:r>
    </w:p>
    <w:p w14:paraId="73910087">
      <w:pPr>
        <w:pStyle w:val="307"/>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5.</w:t>
      </w:r>
      <w:r>
        <w:rPr>
          <w:rFonts w:hint="eastAsia" w:ascii="宋体" w:hAnsi="宋体" w:eastAsia="宋体" w:cs="宋体"/>
          <w:bCs/>
          <w:color w:val="auto"/>
          <w:sz w:val="24"/>
          <w:szCs w:val="24"/>
          <w:lang w:val="en-US" w:eastAsia="zh-CN"/>
        </w:rPr>
        <w:t>响应文件</w:t>
      </w:r>
      <w:r>
        <w:rPr>
          <w:rFonts w:hint="eastAsia" w:ascii="宋体" w:hAnsi="宋体" w:eastAsia="宋体" w:cs="宋体"/>
          <w:bCs/>
          <w:color w:val="auto"/>
          <w:sz w:val="24"/>
          <w:szCs w:val="24"/>
        </w:rPr>
        <w:t>；</w:t>
      </w:r>
    </w:p>
    <w:p w14:paraId="5D2A30A9">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6.其他合同文件</w:t>
      </w:r>
    </w:p>
    <w:p w14:paraId="0F939180">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269" w:name="_Toc467877843"/>
      <w:bookmarkStart w:id="270" w:name="_Toc419045102"/>
      <w:bookmarkStart w:id="271" w:name="_Toc24008"/>
      <w:bookmarkStart w:id="272" w:name="_Toc1040"/>
      <w:bookmarkStart w:id="273" w:name="_Toc18306"/>
      <w:r>
        <w:rPr>
          <w:rStyle w:val="309"/>
          <w:rFonts w:hint="eastAsia" w:ascii="宋体" w:hAnsi="宋体" w:eastAsia="宋体" w:cs="宋体"/>
          <w:b w:val="0"/>
          <w:color w:val="auto"/>
          <w:sz w:val="24"/>
          <w:szCs w:val="24"/>
        </w:rPr>
        <w:t>1.4适用法律</w:t>
      </w:r>
      <w:bookmarkEnd w:id="269"/>
      <w:bookmarkEnd w:id="270"/>
    </w:p>
    <w:bookmarkEnd w:id="271"/>
    <w:bookmarkEnd w:id="272"/>
    <w:bookmarkEnd w:id="273"/>
    <w:p w14:paraId="3F52CB2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本合同适用的其他规范性文件包括:</w:t>
      </w:r>
      <w:r>
        <w:rPr>
          <w:rFonts w:hint="eastAsia" w:ascii="宋体" w:hAnsi="宋体" w:eastAsia="宋体" w:cs="宋体"/>
          <w:color w:val="auto"/>
          <w:sz w:val="24"/>
          <w:szCs w:val="24"/>
          <w:u w:val="single"/>
        </w:rPr>
        <w:t>《中华人民共和国</w:t>
      </w:r>
      <w:r>
        <w:rPr>
          <w:rFonts w:hint="eastAsia" w:ascii="宋体" w:hAnsi="宋体" w:eastAsia="宋体" w:cs="宋体"/>
          <w:color w:val="auto"/>
          <w:sz w:val="24"/>
          <w:szCs w:val="24"/>
          <w:u w:val="single"/>
          <w:lang w:eastAsia="zh-CN"/>
        </w:rPr>
        <w:t>民法典</w:t>
      </w:r>
      <w:r>
        <w:rPr>
          <w:rFonts w:hint="eastAsia" w:ascii="宋体" w:hAnsi="宋体" w:eastAsia="宋体" w:cs="宋体"/>
          <w:color w:val="auto"/>
          <w:sz w:val="24"/>
          <w:szCs w:val="24"/>
          <w:u w:val="single"/>
        </w:rPr>
        <w:t>》、国家、省、市有关法律、法规文件。</w:t>
      </w:r>
    </w:p>
    <w:p w14:paraId="50805E8F">
      <w:pPr>
        <w:pStyle w:val="47"/>
        <w:keepNext w:val="0"/>
        <w:keepLines w:val="0"/>
        <w:pageBreakBefore w:val="0"/>
        <w:widowControl/>
        <w:kinsoku/>
        <w:wordWrap/>
        <w:overflowPunct/>
        <w:topLinePunct w:val="0"/>
        <w:autoSpaceDE/>
        <w:autoSpaceDN/>
        <w:bidi w:val="0"/>
        <w:adjustRightInd/>
        <w:snapToGrid/>
        <w:spacing w:before="0" w:after="0" w:line="420" w:lineRule="exact"/>
        <w:ind w:firstLine="482" w:firstLineChars="200"/>
        <w:jc w:val="left"/>
        <w:textAlignment w:val="auto"/>
        <w:rPr>
          <w:rFonts w:hint="eastAsia" w:ascii="宋体" w:hAnsi="宋体" w:eastAsia="宋体" w:cs="宋体"/>
          <w:color w:val="auto"/>
          <w:sz w:val="24"/>
          <w:szCs w:val="24"/>
        </w:rPr>
      </w:pPr>
      <w:bookmarkStart w:id="274" w:name="_Toc19741"/>
      <w:bookmarkStart w:id="275" w:name="_Toc467877844"/>
      <w:bookmarkStart w:id="276" w:name="_Toc419045103"/>
      <w:bookmarkStart w:id="277" w:name="_Toc3809"/>
      <w:bookmarkStart w:id="278" w:name="_Toc24845"/>
      <w:r>
        <w:rPr>
          <w:rFonts w:hint="eastAsia" w:ascii="宋体" w:hAnsi="宋体" w:eastAsia="宋体" w:cs="宋体"/>
          <w:color w:val="auto"/>
          <w:sz w:val="24"/>
          <w:szCs w:val="24"/>
        </w:rPr>
        <w:t>2.委托人的义务</w:t>
      </w:r>
      <w:bookmarkEnd w:id="274"/>
      <w:bookmarkEnd w:id="275"/>
      <w:bookmarkEnd w:id="276"/>
      <w:bookmarkEnd w:id="277"/>
      <w:bookmarkEnd w:id="278"/>
    </w:p>
    <w:p w14:paraId="019C89A5">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279" w:name="_Toc419045104"/>
      <w:bookmarkStart w:id="280" w:name="_Toc467877845"/>
      <w:bookmarkStart w:id="281" w:name="_Toc18347"/>
      <w:bookmarkStart w:id="282" w:name="_Toc22062"/>
      <w:bookmarkStart w:id="283" w:name="_Toc11268"/>
      <w:r>
        <w:rPr>
          <w:rStyle w:val="309"/>
          <w:rFonts w:hint="eastAsia" w:ascii="宋体" w:hAnsi="宋体" w:eastAsia="宋体" w:cs="宋体"/>
          <w:b w:val="0"/>
          <w:color w:val="auto"/>
          <w:sz w:val="24"/>
          <w:szCs w:val="24"/>
        </w:rPr>
        <w:t>2.1提供资料</w:t>
      </w:r>
      <w:bookmarkEnd w:id="279"/>
      <w:bookmarkEnd w:id="280"/>
    </w:p>
    <w:bookmarkEnd w:id="281"/>
    <w:bookmarkEnd w:id="282"/>
    <w:bookmarkEnd w:id="283"/>
    <w:p w14:paraId="7345274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委托人按照附录C约定无偿向咨询人提供与本合同咨询业务有关资料的时间为：</w:t>
      </w:r>
      <w:r>
        <w:rPr>
          <w:rFonts w:hint="eastAsia" w:ascii="宋体" w:hAnsi="宋体" w:eastAsia="宋体" w:cs="宋体"/>
          <w:color w:val="auto"/>
          <w:sz w:val="24"/>
          <w:szCs w:val="24"/>
          <w:u w:val="single"/>
          <w:lang w:val="en-US" w:eastAsia="zh-CN"/>
        </w:rPr>
        <w:t xml:space="preserve">  签订合同后3个工作日  </w:t>
      </w:r>
      <w:r>
        <w:rPr>
          <w:rFonts w:hint="eastAsia" w:ascii="宋体" w:hAnsi="宋体" w:eastAsia="宋体" w:cs="宋体"/>
          <w:color w:val="auto"/>
          <w:sz w:val="24"/>
          <w:szCs w:val="24"/>
        </w:rPr>
        <w:t>。</w:t>
      </w:r>
    </w:p>
    <w:p w14:paraId="2FB366B4">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284" w:name="_Toc419045105"/>
      <w:bookmarkStart w:id="285" w:name="_Toc467877846"/>
      <w:bookmarkStart w:id="286" w:name="_Toc31163"/>
      <w:bookmarkStart w:id="287" w:name="_Toc20224"/>
      <w:bookmarkStart w:id="288" w:name="_Toc17607"/>
      <w:r>
        <w:rPr>
          <w:rStyle w:val="309"/>
          <w:rFonts w:hint="eastAsia" w:ascii="宋体" w:hAnsi="宋体" w:eastAsia="宋体" w:cs="宋体"/>
          <w:b w:val="0"/>
          <w:color w:val="auto"/>
          <w:sz w:val="24"/>
          <w:szCs w:val="24"/>
        </w:rPr>
        <w:t>2.2提供工作条件</w:t>
      </w:r>
      <w:bookmarkEnd w:id="284"/>
      <w:bookmarkEnd w:id="285"/>
    </w:p>
    <w:bookmarkEnd w:id="286"/>
    <w:bookmarkEnd w:id="287"/>
    <w:bookmarkEnd w:id="288"/>
    <w:p w14:paraId="456DCE0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2.2.1项目咨询人员使用附录D中由委托人提供的房屋及设备，支付使用费的标准为：</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27CD0998">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289" w:name="_Toc467877847"/>
      <w:bookmarkStart w:id="290" w:name="_Toc419045106"/>
      <w:bookmarkStart w:id="291" w:name="_Toc15855"/>
      <w:bookmarkStart w:id="292" w:name="_Toc6773"/>
      <w:bookmarkStart w:id="293" w:name="_Toc9829"/>
      <w:r>
        <w:rPr>
          <w:rStyle w:val="309"/>
          <w:rFonts w:hint="eastAsia" w:ascii="宋体" w:hAnsi="宋体" w:eastAsia="宋体" w:cs="宋体"/>
          <w:b w:val="0"/>
          <w:color w:val="auto"/>
          <w:sz w:val="24"/>
          <w:szCs w:val="24"/>
        </w:rPr>
        <w:t>2.4委托人代表</w:t>
      </w:r>
      <w:bookmarkEnd w:id="289"/>
      <w:bookmarkEnd w:id="290"/>
    </w:p>
    <w:bookmarkEnd w:id="291"/>
    <w:bookmarkEnd w:id="292"/>
    <w:bookmarkEnd w:id="293"/>
    <w:p w14:paraId="677DC4BD">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委托人代表为：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，其权限范围：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p>
    <w:p w14:paraId="1FDD6B2A">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294" w:name="_Toc8403"/>
      <w:bookmarkStart w:id="295" w:name="_Toc10264"/>
      <w:bookmarkStart w:id="296" w:name="_Toc32181"/>
      <w:bookmarkStart w:id="297" w:name="_Toc467877848"/>
      <w:r>
        <w:rPr>
          <w:rFonts w:hint="eastAsia" w:ascii="宋体" w:hAnsi="宋体" w:eastAsia="宋体" w:cs="宋体"/>
          <w:b w:val="0"/>
          <w:color w:val="auto"/>
          <w:sz w:val="24"/>
          <w:szCs w:val="24"/>
        </w:rPr>
        <w:t>2.5答复</w:t>
      </w:r>
      <w:bookmarkEnd w:id="294"/>
      <w:bookmarkEnd w:id="295"/>
      <w:bookmarkEnd w:id="296"/>
      <w:bookmarkEnd w:id="297"/>
    </w:p>
    <w:p w14:paraId="18B869D6">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委托人同意在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日内，对咨询人书面提交并要求做出决定的事宜给予书面答复。</w:t>
      </w:r>
    </w:p>
    <w:p w14:paraId="427E922C">
      <w:pPr>
        <w:pStyle w:val="47"/>
        <w:keepNext w:val="0"/>
        <w:keepLines w:val="0"/>
        <w:pageBreakBefore w:val="0"/>
        <w:widowControl/>
        <w:kinsoku/>
        <w:wordWrap/>
        <w:overflowPunct/>
        <w:topLinePunct w:val="0"/>
        <w:autoSpaceDE/>
        <w:autoSpaceDN/>
        <w:bidi w:val="0"/>
        <w:adjustRightInd/>
        <w:snapToGrid/>
        <w:spacing w:before="0" w:after="0" w:line="420" w:lineRule="exact"/>
        <w:ind w:firstLine="482" w:firstLineChars="200"/>
        <w:jc w:val="left"/>
        <w:textAlignment w:val="auto"/>
        <w:rPr>
          <w:rFonts w:hint="eastAsia" w:ascii="宋体" w:hAnsi="宋体" w:eastAsia="宋体" w:cs="宋体"/>
          <w:color w:val="auto"/>
          <w:sz w:val="24"/>
          <w:szCs w:val="24"/>
        </w:rPr>
      </w:pPr>
      <w:bookmarkStart w:id="298" w:name="_Toc12830"/>
      <w:bookmarkStart w:id="299" w:name="_Toc467877849"/>
      <w:bookmarkStart w:id="300" w:name="_Toc419045107"/>
      <w:bookmarkStart w:id="301" w:name="_Toc7154"/>
      <w:bookmarkStart w:id="302" w:name="_Toc7460"/>
      <w:r>
        <w:rPr>
          <w:rFonts w:hint="eastAsia" w:ascii="宋体" w:hAnsi="宋体" w:eastAsia="宋体" w:cs="宋体"/>
          <w:color w:val="auto"/>
          <w:sz w:val="24"/>
          <w:szCs w:val="24"/>
        </w:rPr>
        <w:t>3.咨询人的义务</w:t>
      </w:r>
      <w:bookmarkEnd w:id="298"/>
      <w:bookmarkEnd w:id="299"/>
      <w:bookmarkEnd w:id="300"/>
      <w:bookmarkEnd w:id="301"/>
      <w:bookmarkEnd w:id="302"/>
    </w:p>
    <w:p w14:paraId="225019A0">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303" w:name="_Toc419045109"/>
      <w:bookmarkStart w:id="304" w:name="_Toc467877850"/>
      <w:bookmarkStart w:id="305" w:name="_Toc7790"/>
      <w:bookmarkStart w:id="306" w:name="_Toc23828"/>
      <w:bookmarkStart w:id="307" w:name="_Toc24705"/>
      <w:r>
        <w:rPr>
          <w:rFonts w:hint="eastAsia" w:ascii="宋体" w:hAnsi="宋体" w:eastAsia="宋体" w:cs="宋体"/>
          <w:b w:val="0"/>
          <w:color w:val="auto"/>
          <w:sz w:val="24"/>
          <w:szCs w:val="24"/>
        </w:rPr>
        <w:t>3.1项目团队及人员</w:t>
      </w:r>
      <w:bookmarkEnd w:id="303"/>
      <w:bookmarkEnd w:id="304"/>
      <w:bookmarkEnd w:id="305"/>
      <w:bookmarkEnd w:id="306"/>
      <w:bookmarkEnd w:id="307"/>
    </w:p>
    <w:p w14:paraId="6BE1F504">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项目团队人员的数量为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人。</w:t>
      </w:r>
    </w:p>
    <w:p w14:paraId="597D23F0">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3.1.2项目负责人为：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身份证号码</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注册证书编号</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项目负责人为履行本合同的权限为：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p>
    <w:p w14:paraId="4D130E37">
      <w:pPr>
        <w:pStyle w:val="307"/>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3.1.3咨询人更换项目</w:t>
      </w:r>
      <w:r>
        <w:rPr>
          <w:rFonts w:hint="eastAsia" w:ascii="宋体" w:hAnsi="宋体" w:eastAsia="宋体" w:cs="宋体"/>
          <w:color w:val="auto"/>
          <w:sz w:val="24"/>
          <w:szCs w:val="24"/>
          <w:lang w:eastAsia="zh-CN"/>
        </w:rPr>
        <w:t>项目负责人及项目团队主要人员</w:t>
      </w:r>
      <w:r>
        <w:rPr>
          <w:rFonts w:hint="eastAsia" w:ascii="宋体" w:hAnsi="宋体" w:eastAsia="宋体" w:cs="宋体"/>
          <w:color w:val="auto"/>
          <w:sz w:val="24"/>
          <w:szCs w:val="24"/>
        </w:rPr>
        <w:t>的约定：</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4DEEA91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3.1.4委托人要求更换咨询人员的情形还包括：</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613CC00C">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308" w:name="_Toc467877851"/>
      <w:bookmarkStart w:id="309" w:name="_Toc4292"/>
      <w:bookmarkStart w:id="310" w:name="_Toc22415"/>
      <w:bookmarkStart w:id="311" w:name="_Toc419045110"/>
      <w:bookmarkStart w:id="312" w:name="_Toc19755"/>
      <w:r>
        <w:rPr>
          <w:rFonts w:hint="eastAsia" w:ascii="宋体" w:hAnsi="宋体" w:eastAsia="宋体" w:cs="宋体"/>
          <w:b w:val="0"/>
          <w:color w:val="auto"/>
          <w:sz w:val="24"/>
          <w:szCs w:val="24"/>
        </w:rPr>
        <w:t>3.2咨询人的工作要求</w:t>
      </w:r>
      <w:bookmarkEnd w:id="308"/>
      <w:bookmarkEnd w:id="309"/>
      <w:bookmarkEnd w:id="310"/>
      <w:bookmarkEnd w:id="311"/>
      <w:bookmarkEnd w:id="312"/>
    </w:p>
    <w:p w14:paraId="253C540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3.2.1咨询人向委托人提供有关资料的时间：</w:t>
      </w:r>
      <w:r>
        <w:rPr>
          <w:rFonts w:hint="eastAsia" w:ascii="宋体" w:hAnsi="宋体" w:eastAsia="宋体" w:cs="宋体"/>
          <w:color w:val="auto"/>
          <w:sz w:val="24"/>
          <w:szCs w:val="24"/>
          <w:u w:val="single"/>
        </w:rPr>
        <w:t>合同签订后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日内</w:t>
      </w:r>
      <w:r>
        <w:rPr>
          <w:rFonts w:hint="eastAsia" w:ascii="宋体" w:hAnsi="宋体" w:eastAsia="宋体" w:cs="宋体"/>
          <w:color w:val="auto"/>
          <w:sz w:val="24"/>
          <w:szCs w:val="24"/>
        </w:rPr>
        <w:t>。咨询人向委托人提供的资料还包括：</w:t>
      </w:r>
      <w:r>
        <w:rPr>
          <w:rFonts w:hint="eastAsia" w:ascii="宋体" w:hAnsi="宋体" w:eastAsia="宋体" w:cs="宋体"/>
          <w:color w:val="auto"/>
          <w:sz w:val="24"/>
          <w:szCs w:val="24"/>
          <w:u w:val="single"/>
          <w:lang w:val="en-US" w:eastAsia="zh-CN"/>
        </w:rPr>
        <w:t xml:space="preserve"> 以委托人要求为准 </w:t>
      </w:r>
      <w:r>
        <w:rPr>
          <w:rFonts w:hint="eastAsia" w:ascii="宋体" w:hAnsi="宋体" w:eastAsia="宋体" w:cs="宋体"/>
          <w:color w:val="auto"/>
          <w:sz w:val="24"/>
          <w:szCs w:val="24"/>
        </w:rPr>
        <w:t>。</w:t>
      </w:r>
    </w:p>
    <w:p w14:paraId="71E048F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补充：</w:t>
      </w:r>
    </w:p>
    <w:p w14:paraId="00997C15">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咨询人在服务过程中应该坚持独立、客观、公正、科学的原则，对于报送资料中存在的问题和进展情况要及时向委托人报告，接受委托人复审，及时答复有关问题。</w:t>
      </w:r>
    </w:p>
    <w:p w14:paraId="734DD4C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现地验收及工程量审核时，委托人或项目县林业部门仅派人进行范围指认，由咨询人单独完成。审核的各标段工程量、结算价款应严格保密，审核结束时分别提交委托人。对存在异议部分，在委托人、项目县林业部门和监理单位的监督下，与施工标段一同核实确认。</w:t>
      </w:r>
    </w:p>
    <w:p w14:paraId="4E059AE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现地验收以小班为单位，以作业设计要求为准，对所有设计小班实施面积、相关工程措施全查，造林成活率、保存率、苗木规格等实施质量采取样地调查法确定。</w:t>
      </w:r>
    </w:p>
    <w:p w14:paraId="51460C0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3.2.2咨询人向委托人提供咨询成果文件的名称、组成、时间、份数及质量标准：</w:t>
      </w:r>
      <w:r>
        <w:rPr>
          <w:rFonts w:hint="eastAsia" w:ascii="宋体" w:hAnsi="宋体" w:eastAsia="宋体" w:cs="宋体"/>
          <w:color w:val="auto"/>
          <w:sz w:val="24"/>
          <w:szCs w:val="24"/>
          <w:u w:val="single"/>
        </w:rPr>
        <w:t>详见附录B。</w:t>
      </w:r>
    </w:p>
    <w:p w14:paraId="42E6752B">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3.2.4咨询人应在收到委托人以书面形式提出的建议或者异议后</w:t>
      </w:r>
      <w:r>
        <w:rPr>
          <w:rFonts w:hint="eastAsia" w:ascii="宋体" w:hAnsi="宋体" w:eastAsia="宋体" w:cs="宋体"/>
          <w:color w:val="auto"/>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auto"/>
          <w:sz w:val="24"/>
          <w:szCs w:val="24"/>
        </w:rPr>
        <w:t>日内给予书面答复。</w:t>
      </w:r>
    </w:p>
    <w:p w14:paraId="4238F521">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313" w:name="_Toc467877852"/>
      <w:bookmarkStart w:id="314" w:name="_Toc20636"/>
      <w:bookmarkStart w:id="315" w:name="_Toc20376"/>
      <w:bookmarkStart w:id="316" w:name="_Toc419045111"/>
      <w:bookmarkStart w:id="317" w:name="_Toc28267"/>
      <w:r>
        <w:rPr>
          <w:rFonts w:hint="eastAsia" w:ascii="宋体" w:hAnsi="宋体" w:eastAsia="宋体" w:cs="宋体"/>
          <w:b w:val="0"/>
          <w:color w:val="auto"/>
          <w:sz w:val="24"/>
          <w:szCs w:val="24"/>
        </w:rPr>
        <w:t>3.3咨询人的工作依据</w:t>
      </w:r>
      <w:bookmarkEnd w:id="313"/>
      <w:bookmarkEnd w:id="314"/>
      <w:bookmarkEnd w:id="315"/>
      <w:bookmarkEnd w:id="316"/>
      <w:bookmarkEnd w:id="317"/>
    </w:p>
    <w:p w14:paraId="6F9DAB4B">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经双方协商，本合同约定的造价咨询服务适用的技术标准、规范、定额等工作依据为：</w:t>
      </w:r>
      <w:r>
        <w:rPr>
          <w:rFonts w:hint="eastAsia" w:ascii="宋体" w:hAnsi="宋体" w:eastAsia="宋体" w:cs="宋体"/>
          <w:color w:val="auto"/>
          <w:sz w:val="24"/>
          <w:szCs w:val="24"/>
          <w:u w:val="single"/>
        </w:rPr>
        <w:t>国家、</w:t>
      </w:r>
      <w:r>
        <w:rPr>
          <w:rFonts w:hint="eastAsia" w:ascii="宋体" w:hAnsi="宋体" w:eastAsia="宋体" w:cs="宋体"/>
          <w:color w:val="auto"/>
          <w:sz w:val="24"/>
          <w:szCs w:val="24"/>
          <w:u w:val="single"/>
          <w:lang w:eastAsia="zh-CN"/>
        </w:rPr>
        <w:t>行业及地方相关标准和要求</w:t>
      </w:r>
      <w:r>
        <w:rPr>
          <w:rFonts w:hint="eastAsia" w:ascii="宋体" w:hAnsi="宋体" w:eastAsia="宋体" w:cs="宋体"/>
          <w:color w:val="auto"/>
          <w:sz w:val="24"/>
          <w:szCs w:val="24"/>
        </w:rPr>
        <w:t>。</w:t>
      </w:r>
    </w:p>
    <w:p w14:paraId="138058F3">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318" w:name="_Toc18625"/>
      <w:bookmarkStart w:id="319" w:name="_Toc467877853"/>
      <w:bookmarkStart w:id="320" w:name="_Toc419045112"/>
      <w:bookmarkStart w:id="321" w:name="_Toc22136"/>
      <w:bookmarkStart w:id="322" w:name="_Toc14175"/>
      <w:r>
        <w:rPr>
          <w:rFonts w:hint="eastAsia" w:ascii="宋体" w:hAnsi="宋体" w:eastAsia="宋体" w:cs="宋体"/>
          <w:b w:val="0"/>
          <w:color w:val="auto"/>
          <w:sz w:val="24"/>
          <w:szCs w:val="24"/>
        </w:rPr>
        <w:t>3.4使用委托人房屋及设备的返还</w:t>
      </w:r>
      <w:bookmarkEnd w:id="318"/>
      <w:bookmarkEnd w:id="319"/>
      <w:bookmarkEnd w:id="320"/>
      <w:bookmarkEnd w:id="321"/>
      <w:bookmarkEnd w:id="322"/>
    </w:p>
    <w:p w14:paraId="357AE8C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咨询人应在本合同终止后</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日内移交委托人提供的房屋及设备，移交的方式为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C9800CD">
      <w:pPr>
        <w:pStyle w:val="47"/>
        <w:keepNext w:val="0"/>
        <w:keepLines w:val="0"/>
        <w:pageBreakBefore w:val="0"/>
        <w:widowControl/>
        <w:kinsoku/>
        <w:wordWrap/>
        <w:overflowPunct/>
        <w:topLinePunct w:val="0"/>
        <w:autoSpaceDE/>
        <w:autoSpaceDN/>
        <w:bidi w:val="0"/>
        <w:adjustRightInd/>
        <w:snapToGrid/>
        <w:spacing w:before="0" w:after="0" w:line="420" w:lineRule="exact"/>
        <w:ind w:firstLine="482" w:firstLineChars="200"/>
        <w:jc w:val="left"/>
        <w:textAlignment w:val="auto"/>
        <w:rPr>
          <w:rFonts w:hint="eastAsia" w:ascii="宋体" w:hAnsi="宋体" w:eastAsia="宋体" w:cs="宋体"/>
          <w:color w:val="auto"/>
          <w:sz w:val="24"/>
          <w:szCs w:val="24"/>
        </w:rPr>
      </w:pPr>
      <w:bookmarkStart w:id="323" w:name="_Toc3814"/>
      <w:bookmarkStart w:id="324" w:name="_Toc419045113"/>
      <w:bookmarkStart w:id="325" w:name="_Toc467877854"/>
      <w:bookmarkStart w:id="326" w:name="_Toc4764"/>
      <w:bookmarkStart w:id="327" w:name="_Toc5867"/>
      <w:r>
        <w:rPr>
          <w:rFonts w:hint="eastAsia" w:ascii="宋体" w:hAnsi="宋体" w:eastAsia="宋体" w:cs="宋体"/>
          <w:color w:val="auto"/>
          <w:sz w:val="24"/>
          <w:szCs w:val="24"/>
        </w:rPr>
        <w:t>4. 违约责任</w:t>
      </w:r>
      <w:bookmarkEnd w:id="323"/>
      <w:bookmarkEnd w:id="324"/>
      <w:bookmarkEnd w:id="325"/>
      <w:bookmarkEnd w:id="326"/>
      <w:bookmarkEnd w:id="327"/>
    </w:p>
    <w:p w14:paraId="3629BA95">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color w:val="auto"/>
          <w:sz w:val="24"/>
          <w:szCs w:val="24"/>
        </w:rPr>
      </w:pPr>
      <w:bookmarkStart w:id="328" w:name="_Toc14572"/>
      <w:bookmarkStart w:id="329" w:name="_Toc20167"/>
      <w:bookmarkStart w:id="330" w:name="_Toc467877855"/>
      <w:bookmarkStart w:id="331" w:name="_Toc653"/>
      <w:r>
        <w:rPr>
          <w:rStyle w:val="309"/>
          <w:rFonts w:hint="eastAsia" w:ascii="宋体" w:hAnsi="宋体" w:eastAsia="宋体" w:cs="宋体"/>
          <w:b w:val="0"/>
          <w:bCs w:val="0"/>
          <w:color w:val="auto"/>
          <w:sz w:val="24"/>
          <w:szCs w:val="24"/>
        </w:rPr>
        <w:t>4.1委托人的违约责任</w:t>
      </w:r>
      <w:bookmarkEnd w:id="328"/>
      <w:bookmarkEnd w:id="329"/>
      <w:bookmarkEnd w:id="330"/>
      <w:bookmarkEnd w:id="331"/>
    </w:p>
    <w:p w14:paraId="06B04617">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4.1.1委托人违约金的计算及支付方法：</w:t>
      </w:r>
      <w:r>
        <w:rPr>
          <w:rFonts w:hint="eastAsia" w:ascii="宋体" w:hAnsi="宋体" w:eastAsia="宋体" w:cs="宋体"/>
          <w:color w:val="auto"/>
          <w:sz w:val="24"/>
          <w:szCs w:val="24"/>
          <w:u w:val="single"/>
        </w:rPr>
        <w:t>发生时另行协商</w:t>
      </w:r>
      <w:r>
        <w:rPr>
          <w:rFonts w:hint="eastAsia" w:ascii="宋体" w:hAnsi="宋体" w:eastAsia="宋体" w:cs="宋体"/>
          <w:color w:val="auto"/>
          <w:sz w:val="24"/>
          <w:szCs w:val="24"/>
        </w:rPr>
        <w:t>。</w:t>
      </w:r>
    </w:p>
    <w:p w14:paraId="51162EFB">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4.1.2委托人赔偿金额按下列方法确定并支付：</w:t>
      </w:r>
      <w:r>
        <w:rPr>
          <w:rFonts w:hint="eastAsia" w:ascii="宋体" w:hAnsi="宋体" w:eastAsia="宋体" w:cs="宋体"/>
          <w:color w:val="auto"/>
          <w:sz w:val="24"/>
          <w:szCs w:val="24"/>
          <w:u w:val="single"/>
        </w:rPr>
        <w:t>发生时另行协商</w:t>
      </w:r>
      <w:r>
        <w:rPr>
          <w:rFonts w:hint="eastAsia" w:ascii="宋体" w:hAnsi="宋体" w:eastAsia="宋体" w:cs="宋体"/>
          <w:color w:val="auto"/>
          <w:sz w:val="24"/>
          <w:szCs w:val="24"/>
        </w:rPr>
        <w:t>。</w:t>
      </w:r>
    </w:p>
    <w:p w14:paraId="7B61D4B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4.1.3委托人逾期付款利息按下列方法计算并支付：</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rPr>
        <w:t>。</w:t>
      </w:r>
    </w:p>
    <w:p w14:paraId="30A3A939">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332" w:name="_Toc23694"/>
      <w:bookmarkStart w:id="333" w:name="_Toc467877856"/>
      <w:bookmarkStart w:id="334" w:name="_Toc500"/>
      <w:bookmarkStart w:id="335" w:name="_Toc8870"/>
      <w:bookmarkStart w:id="336" w:name="_Toc419045114"/>
      <w:r>
        <w:rPr>
          <w:rFonts w:hint="eastAsia" w:ascii="宋体" w:hAnsi="宋体" w:eastAsia="宋体" w:cs="宋体"/>
          <w:b w:val="0"/>
          <w:color w:val="auto"/>
          <w:sz w:val="24"/>
          <w:szCs w:val="24"/>
        </w:rPr>
        <w:t>4.2咨询人的违约责任</w:t>
      </w:r>
      <w:bookmarkEnd w:id="332"/>
      <w:bookmarkEnd w:id="333"/>
      <w:bookmarkEnd w:id="334"/>
      <w:bookmarkEnd w:id="335"/>
    </w:p>
    <w:bookmarkEnd w:id="336"/>
    <w:p w14:paraId="6EAB1059">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4.2.1咨询人违约金的计算及支付方法：</w:t>
      </w:r>
      <w:r>
        <w:rPr>
          <w:rFonts w:hint="eastAsia" w:ascii="宋体" w:hAnsi="宋体" w:eastAsia="宋体" w:cs="宋体"/>
          <w:color w:val="auto"/>
          <w:sz w:val="24"/>
          <w:szCs w:val="24"/>
          <w:u w:val="single"/>
        </w:rPr>
        <w:t>发生时另行协商</w:t>
      </w:r>
      <w:r>
        <w:rPr>
          <w:rFonts w:hint="eastAsia" w:ascii="宋体" w:hAnsi="宋体" w:eastAsia="宋体" w:cs="宋体"/>
          <w:color w:val="auto"/>
          <w:sz w:val="24"/>
          <w:szCs w:val="24"/>
        </w:rPr>
        <w:t>。</w:t>
      </w:r>
    </w:p>
    <w:p w14:paraId="721910B8">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4.2.2 咨询人赔偿金额按下列方法确定并支付：</w:t>
      </w:r>
      <w:r>
        <w:rPr>
          <w:rFonts w:hint="eastAsia" w:ascii="宋体" w:hAnsi="宋体" w:eastAsia="宋体" w:cs="宋体"/>
          <w:color w:val="auto"/>
          <w:sz w:val="24"/>
          <w:szCs w:val="24"/>
          <w:u w:val="single"/>
        </w:rPr>
        <w:t>发生时另行协商</w:t>
      </w:r>
      <w:r>
        <w:rPr>
          <w:rFonts w:hint="eastAsia" w:ascii="宋体" w:hAnsi="宋体" w:eastAsia="宋体" w:cs="宋体"/>
          <w:color w:val="auto"/>
          <w:sz w:val="24"/>
          <w:szCs w:val="24"/>
        </w:rPr>
        <w:t>_。</w:t>
      </w:r>
    </w:p>
    <w:p w14:paraId="2B90C9C9">
      <w:pPr>
        <w:pStyle w:val="47"/>
        <w:keepNext w:val="0"/>
        <w:keepLines w:val="0"/>
        <w:pageBreakBefore w:val="0"/>
        <w:widowControl/>
        <w:kinsoku/>
        <w:wordWrap/>
        <w:overflowPunct/>
        <w:topLinePunct w:val="0"/>
        <w:autoSpaceDE/>
        <w:autoSpaceDN/>
        <w:bidi w:val="0"/>
        <w:adjustRightInd/>
        <w:snapToGrid/>
        <w:spacing w:before="0" w:after="0" w:line="420" w:lineRule="exact"/>
        <w:ind w:firstLine="482" w:firstLineChars="200"/>
        <w:jc w:val="left"/>
        <w:textAlignment w:val="auto"/>
        <w:rPr>
          <w:rFonts w:hint="eastAsia" w:ascii="宋体" w:hAnsi="宋体" w:eastAsia="宋体" w:cs="宋体"/>
          <w:color w:val="auto"/>
          <w:sz w:val="24"/>
          <w:szCs w:val="24"/>
        </w:rPr>
      </w:pPr>
      <w:bookmarkStart w:id="337" w:name="_Toc19766"/>
      <w:bookmarkStart w:id="338" w:name="_Toc419045115"/>
      <w:bookmarkStart w:id="339" w:name="_Toc467877857"/>
      <w:bookmarkStart w:id="340" w:name="_Toc31146"/>
      <w:bookmarkStart w:id="341" w:name="_Toc22912"/>
      <w:r>
        <w:rPr>
          <w:rFonts w:hint="eastAsia" w:ascii="宋体" w:hAnsi="宋体" w:eastAsia="宋体" w:cs="宋体"/>
          <w:color w:val="auto"/>
          <w:sz w:val="24"/>
          <w:szCs w:val="24"/>
        </w:rPr>
        <w:t>5. 支付</w:t>
      </w:r>
      <w:bookmarkEnd w:id="337"/>
      <w:bookmarkEnd w:id="338"/>
      <w:bookmarkEnd w:id="339"/>
      <w:bookmarkEnd w:id="340"/>
      <w:bookmarkEnd w:id="341"/>
    </w:p>
    <w:p w14:paraId="4C954D2D">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342" w:name="_Toc467877858"/>
      <w:bookmarkStart w:id="343" w:name="_Toc419045116"/>
      <w:bookmarkStart w:id="344" w:name="_Toc18247"/>
      <w:bookmarkStart w:id="345" w:name="_Toc23422"/>
      <w:bookmarkStart w:id="346" w:name="_Toc30956"/>
      <w:r>
        <w:rPr>
          <w:rStyle w:val="309"/>
          <w:rFonts w:hint="eastAsia" w:ascii="宋体" w:hAnsi="宋体" w:eastAsia="宋体" w:cs="宋体"/>
          <w:b w:val="0"/>
          <w:color w:val="auto"/>
          <w:sz w:val="24"/>
          <w:szCs w:val="24"/>
        </w:rPr>
        <w:t>5.1支付货币</w:t>
      </w:r>
      <w:bookmarkEnd w:id="342"/>
      <w:bookmarkEnd w:id="343"/>
    </w:p>
    <w:bookmarkEnd w:id="344"/>
    <w:bookmarkEnd w:id="345"/>
    <w:bookmarkEnd w:id="346"/>
    <w:p w14:paraId="2B09C08D">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币种为：</w:t>
      </w:r>
      <w:r>
        <w:rPr>
          <w:rFonts w:hint="eastAsia" w:ascii="宋体" w:hAnsi="宋体" w:eastAsia="宋体" w:cs="宋体"/>
          <w:color w:val="auto"/>
          <w:sz w:val="24"/>
          <w:szCs w:val="24"/>
          <w:u w:val="single"/>
        </w:rPr>
        <w:t>人民币</w:t>
      </w:r>
      <w:r>
        <w:rPr>
          <w:rFonts w:hint="eastAsia" w:ascii="宋体" w:hAnsi="宋体" w:eastAsia="宋体" w:cs="宋体"/>
          <w:color w:val="auto"/>
          <w:sz w:val="24"/>
          <w:szCs w:val="24"/>
        </w:rPr>
        <w:t>，汇率为：</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，其他约定：</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1D808EEB">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347" w:name="_Toc467877859"/>
      <w:bookmarkStart w:id="348" w:name="_Toc419045117"/>
      <w:bookmarkStart w:id="349" w:name="_Toc32671"/>
      <w:bookmarkStart w:id="350" w:name="_Toc22265"/>
      <w:bookmarkStart w:id="351" w:name="_Toc22989"/>
      <w:r>
        <w:rPr>
          <w:rStyle w:val="309"/>
          <w:rFonts w:hint="eastAsia" w:ascii="宋体" w:hAnsi="宋体" w:eastAsia="宋体" w:cs="宋体"/>
          <w:b w:val="0"/>
          <w:color w:val="auto"/>
          <w:sz w:val="24"/>
          <w:szCs w:val="24"/>
        </w:rPr>
        <w:t>5.2支付</w:t>
      </w:r>
      <w:bookmarkEnd w:id="347"/>
      <w:bookmarkEnd w:id="348"/>
    </w:p>
    <w:bookmarkEnd w:id="349"/>
    <w:bookmarkEnd w:id="350"/>
    <w:bookmarkEnd w:id="351"/>
    <w:p w14:paraId="251859C0">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b w:val="0"/>
          <w:bCs/>
          <w:color w:val="auto"/>
          <w:sz w:val="24"/>
          <w:szCs w:val="24"/>
          <w:lang w:val="en-US" w:eastAsia="zh-CN"/>
        </w:rPr>
        <w:t>5.2.1</w:t>
      </w:r>
      <w:r>
        <w:rPr>
          <w:rFonts w:hint="eastAsia" w:ascii="宋体" w:hAnsi="宋体" w:eastAsia="宋体" w:cs="宋体"/>
          <w:b w:val="0"/>
          <w:bCs/>
          <w:color w:val="auto"/>
          <w:sz w:val="24"/>
          <w:szCs w:val="24"/>
        </w:rPr>
        <w:t>本项目</w:t>
      </w:r>
      <w:r>
        <w:rPr>
          <w:rFonts w:hint="eastAsia" w:ascii="宋体" w:hAnsi="宋体" w:eastAsia="宋体" w:cs="宋体"/>
          <w:b w:val="0"/>
          <w:bCs/>
          <w:color w:val="auto"/>
          <w:sz w:val="24"/>
          <w:szCs w:val="24"/>
          <w:lang w:eastAsia="zh-CN"/>
        </w:rPr>
        <w:t>验收结算审核费</w:t>
      </w:r>
      <w:r>
        <w:rPr>
          <w:rFonts w:hint="eastAsia" w:ascii="宋体" w:hAnsi="宋体" w:eastAsia="宋体" w:cs="宋体"/>
          <w:b w:val="0"/>
          <w:bCs/>
          <w:color w:val="auto"/>
          <w:sz w:val="24"/>
          <w:szCs w:val="24"/>
        </w:rPr>
        <w:t>由委托人支付，</w:t>
      </w:r>
      <w:bookmarkStart w:id="352" w:name="_Toc467877860"/>
      <w:bookmarkStart w:id="353" w:name="_Toc419045118"/>
      <w:r>
        <w:rPr>
          <w:rFonts w:hint="eastAsia" w:ascii="宋体" w:hAnsi="宋体" w:eastAsia="宋体" w:cs="宋体"/>
          <w:color w:val="auto"/>
          <w:sz w:val="24"/>
          <w:szCs w:val="24"/>
          <w:u w:val="none"/>
          <w:lang w:val="en-US" w:eastAsia="zh-CN"/>
        </w:rPr>
        <w:t>合同总价</w:t>
      </w:r>
      <w:r>
        <w:rPr>
          <w:rFonts w:hint="eastAsia" w:ascii="宋体" w:hAnsi="宋体" w:eastAsia="宋体" w:cs="宋体"/>
          <w:color w:val="auto"/>
          <w:sz w:val="24"/>
          <w:szCs w:val="24"/>
          <w:u w:val="single"/>
          <w:lang w:val="en-US" w:eastAsia="zh-CN"/>
        </w:rPr>
        <w:t xml:space="preserve">            元整（￥        .00元）（中标价），</w:t>
      </w:r>
      <w:r>
        <w:rPr>
          <w:rFonts w:hint="eastAsia" w:ascii="宋体" w:hAnsi="宋体" w:eastAsia="宋体" w:cs="宋体"/>
          <w:color w:val="auto"/>
          <w:sz w:val="24"/>
          <w:szCs w:val="24"/>
          <w:u w:val="none"/>
          <w:lang w:val="en-US" w:eastAsia="zh-CN"/>
        </w:rPr>
        <w:t>由委托人支付。包括：</w:t>
      </w:r>
    </w:p>
    <w:p w14:paraId="472565C5">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1.验收酬金：</w:t>
      </w:r>
      <w:r>
        <w:rPr>
          <w:rFonts w:hint="eastAsia" w:ascii="宋体" w:hAnsi="宋体" w:eastAsia="宋体" w:cs="宋体"/>
          <w:color w:val="auto"/>
          <w:sz w:val="24"/>
          <w:szCs w:val="24"/>
          <w:u w:val="single"/>
          <w:lang w:val="en-US" w:eastAsia="zh-CN"/>
        </w:rPr>
        <w:t xml:space="preserve">            元整（￥        .00元）</w:t>
      </w:r>
      <w:r>
        <w:rPr>
          <w:rFonts w:hint="eastAsia" w:ascii="宋体" w:hAnsi="宋体" w:eastAsia="宋体" w:cs="宋体"/>
          <w:color w:val="auto"/>
          <w:sz w:val="24"/>
          <w:szCs w:val="24"/>
          <w:u w:val="none"/>
          <w:lang w:val="en-US" w:eastAsia="zh-CN"/>
        </w:rPr>
        <w:t>。</w:t>
      </w:r>
    </w:p>
    <w:p w14:paraId="7B9BB377">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lang w:val="en-US" w:eastAsia="zh-CN"/>
        </w:rPr>
      </w:pPr>
      <w:r>
        <w:rPr>
          <w:rFonts w:hint="eastAsia" w:ascii="宋体" w:hAnsi="宋体" w:eastAsia="宋体" w:cs="宋体"/>
          <w:color w:val="auto"/>
          <w:sz w:val="24"/>
          <w:szCs w:val="24"/>
          <w:lang w:val="en-US" w:eastAsia="zh-CN"/>
        </w:rPr>
        <w:t>2.结算审核酬金：</w:t>
      </w:r>
      <w:r>
        <w:rPr>
          <w:rFonts w:hint="eastAsia" w:ascii="宋体" w:hAnsi="宋体" w:eastAsia="宋体" w:cs="宋体"/>
          <w:color w:val="auto"/>
          <w:sz w:val="24"/>
          <w:szCs w:val="24"/>
          <w:u w:val="single"/>
          <w:lang w:val="en-US" w:eastAsia="zh-CN"/>
        </w:rPr>
        <w:t xml:space="preserve">            元整（￥    .00元）</w:t>
      </w:r>
      <w:r>
        <w:rPr>
          <w:rFonts w:hint="eastAsia" w:ascii="宋体" w:hAnsi="宋体" w:eastAsia="宋体" w:cs="宋体"/>
          <w:color w:val="auto"/>
          <w:sz w:val="24"/>
          <w:szCs w:val="24"/>
          <w:u w:val="none"/>
          <w:lang w:val="en-US" w:eastAsia="zh-CN"/>
        </w:rPr>
        <w:t>，结算审核费费率为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。最</w:t>
      </w:r>
      <w:r>
        <w:rPr>
          <w:rStyle w:val="309"/>
          <w:rFonts w:hint="eastAsia" w:ascii="宋体" w:hAnsi="宋体" w:eastAsia="宋体" w:cs="宋体"/>
          <w:b w:val="0"/>
          <w:color w:val="auto"/>
          <w:sz w:val="24"/>
          <w:szCs w:val="24"/>
          <w:lang w:val="en-US" w:eastAsia="zh-CN"/>
        </w:rPr>
        <w:t>终结算审核费支付=成交结算审核费费率×审定价。</w:t>
      </w:r>
    </w:p>
    <w:p w14:paraId="1B35E4E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color w:val="auto"/>
          <w:highlight w:val="none"/>
        </w:rPr>
      </w:pPr>
      <w:bookmarkStart w:id="354" w:name="_Toc6285"/>
      <w:r>
        <w:rPr>
          <w:rStyle w:val="309"/>
          <w:rFonts w:hint="eastAsia" w:ascii="宋体" w:hAnsi="宋体" w:eastAsia="宋体" w:cs="宋体"/>
          <w:b w:val="0"/>
          <w:color w:val="auto"/>
          <w:sz w:val="24"/>
          <w:szCs w:val="24"/>
          <w:lang w:val="en-US" w:eastAsia="zh-CN"/>
        </w:rPr>
        <w:t>5.2.2</w:t>
      </w:r>
      <w:r>
        <w:rPr>
          <w:rStyle w:val="309"/>
          <w:rFonts w:hint="eastAsia" w:ascii="宋体" w:hAnsi="宋体" w:eastAsia="宋体" w:cs="宋体"/>
          <w:b w:val="0"/>
          <w:color w:val="auto"/>
          <w:sz w:val="24"/>
          <w:szCs w:val="24"/>
        </w:rPr>
        <w:t>正常工作酬金的支付：</w:t>
      </w:r>
      <w:bookmarkEnd w:id="354"/>
    </w:p>
    <w:tbl>
      <w:tblPr>
        <w:tblStyle w:val="310"/>
        <w:tblW w:w="8159" w:type="dxa"/>
        <w:tblInd w:w="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6"/>
        <w:gridCol w:w="2725"/>
        <w:gridCol w:w="2298"/>
        <w:gridCol w:w="1840"/>
      </w:tblGrid>
      <w:tr w14:paraId="100DE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296" w:type="dxa"/>
            <w:tcBorders>
              <w:top w:val="single" w:color="000000" w:sz="2" w:space="0"/>
              <w:bottom w:val="single" w:color="000000" w:sz="2" w:space="0"/>
            </w:tcBorders>
            <w:noWrap w:val="0"/>
            <w:vAlign w:val="center"/>
          </w:tcPr>
          <w:p w14:paraId="4FE57261">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rPr>
            </w:pPr>
            <w:r>
              <w:rPr>
                <w:rFonts w:hint="eastAsia" w:ascii="宋体" w:hAnsi="宋体" w:eastAsia="宋体" w:cs="宋体"/>
                <w:b w:val="0"/>
                <w:bCs/>
                <w:color w:val="auto"/>
                <w:spacing w:val="8"/>
                <w:sz w:val="24"/>
                <w:szCs w:val="24"/>
                <w:highlight w:val="none"/>
              </w:rPr>
              <w:t>支付次数</w:t>
            </w:r>
          </w:p>
        </w:tc>
        <w:tc>
          <w:tcPr>
            <w:tcW w:w="2725" w:type="dxa"/>
            <w:tcBorders>
              <w:top w:val="single" w:color="000000" w:sz="2" w:space="0"/>
              <w:bottom w:val="single" w:color="000000" w:sz="2" w:space="0"/>
            </w:tcBorders>
            <w:noWrap w:val="0"/>
            <w:vAlign w:val="center"/>
          </w:tcPr>
          <w:p w14:paraId="14B26FE8">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rPr>
            </w:pPr>
            <w:r>
              <w:rPr>
                <w:rFonts w:hint="eastAsia" w:ascii="宋体" w:hAnsi="宋体" w:eastAsia="宋体" w:cs="宋体"/>
                <w:b w:val="0"/>
                <w:bCs/>
                <w:color w:val="auto"/>
                <w:spacing w:val="8"/>
                <w:sz w:val="24"/>
                <w:szCs w:val="24"/>
                <w:highlight w:val="none"/>
              </w:rPr>
              <w:t>支付时间</w:t>
            </w:r>
          </w:p>
        </w:tc>
        <w:tc>
          <w:tcPr>
            <w:tcW w:w="2298" w:type="dxa"/>
            <w:tcBorders>
              <w:top w:val="single" w:color="000000" w:sz="2" w:space="0"/>
              <w:bottom w:val="single" w:color="000000" w:sz="2" w:space="0"/>
            </w:tcBorders>
            <w:noWrap w:val="0"/>
            <w:vAlign w:val="center"/>
          </w:tcPr>
          <w:p w14:paraId="6C973A33">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rPr>
            </w:pPr>
            <w:r>
              <w:rPr>
                <w:rFonts w:hint="eastAsia" w:ascii="宋体" w:hAnsi="宋体" w:eastAsia="宋体" w:cs="宋体"/>
                <w:b w:val="0"/>
                <w:bCs/>
                <w:color w:val="auto"/>
                <w:spacing w:val="8"/>
                <w:sz w:val="24"/>
                <w:szCs w:val="24"/>
                <w:highlight w:val="none"/>
              </w:rPr>
              <w:t>支付比例</w:t>
            </w:r>
          </w:p>
        </w:tc>
        <w:tc>
          <w:tcPr>
            <w:tcW w:w="1840" w:type="dxa"/>
            <w:tcBorders>
              <w:top w:val="single" w:color="000000" w:sz="2" w:space="0"/>
              <w:bottom w:val="single" w:color="000000" w:sz="2" w:space="0"/>
            </w:tcBorders>
            <w:noWrap w:val="0"/>
            <w:vAlign w:val="center"/>
          </w:tcPr>
          <w:p w14:paraId="3E13C64C">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rPr>
            </w:pPr>
            <w:r>
              <w:rPr>
                <w:rFonts w:hint="eastAsia" w:ascii="宋体" w:hAnsi="宋体" w:eastAsia="宋体" w:cs="宋体"/>
                <w:b w:val="0"/>
                <w:bCs/>
                <w:color w:val="auto"/>
                <w:spacing w:val="8"/>
                <w:sz w:val="24"/>
                <w:szCs w:val="24"/>
                <w:highlight w:val="none"/>
              </w:rPr>
              <w:t>支付金额(万元)</w:t>
            </w:r>
          </w:p>
        </w:tc>
      </w:tr>
      <w:tr w14:paraId="3A9E1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1296" w:type="dxa"/>
            <w:tcBorders>
              <w:top w:val="single" w:color="000000" w:sz="2" w:space="0"/>
              <w:bottom w:val="single" w:color="000000" w:sz="2" w:space="0"/>
            </w:tcBorders>
            <w:noWrap w:val="0"/>
            <w:vAlign w:val="center"/>
          </w:tcPr>
          <w:p w14:paraId="2CD6932C">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val="en-US" w:eastAsia="zh-CN"/>
              </w:rPr>
            </w:pPr>
            <w:r>
              <w:rPr>
                <w:rFonts w:hint="eastAsia" w:ascii="宋体" w:hAnsi="宋体" w:eastAsia="宋体" w:cs="宋体"/>
                <w:b w:val="0"/>
                <w:bCs/>
                <w:color w:val="auto"/>
                <w:spacing w:val="8"/>
                <w:sz w:val="24"/>
                <w:szCs w:val="24"/>
                <w:highlight w:val="none"/>
                <w:lang w:val="en-US" w:eastAsia="zh-CN"/>
              </w:rPr>
              <w:t>1</w:t>
            </w:r>
          </w:p>
        </w:tc>
        <w:tc>
          <w:tcPr>
            <w:tcW w:w="2725" w:type="dxa"/>
            <w:tcBorders>
              <w:top w:val="single" w:color="000000" w:sz="2" w:space="0"/>
              <w:bottom w:val="single" w:color="000000" w:sz="2" w:space="0"/>
            </w:tcBorders>
            <w:noWrap w:val="0"/>
            <w:vAlign w:val="center"/>
          </w:tcPr>
          <w:p w14:paraId="5E36FEE0">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eastAsia="zh-CN"/>
              </w:rPr>
            </w:pPr>
            <w:r>
              <w:rPr>
                <w:rFonts w:hint="eastAsia" w:ascii="宋体" w:hAnsi="宋体" w:eastAsia="宋体" w:cs="宋体"/>
                <w:b w:val="0"/>
                <w:bCs/>
                <w:color w:val="auto"/>
                <w:spacing w:val="8"/>
                <w:sz w:val="24"/>
                <w:szCs w:val="24"/>
                <w:highlight w:val="none"/>
                <w:lang w:eastAsia="zh-CN"/>
              </w:rPr>
              <w:t>阶段性验收完成</w:t>
            </w:r>
          </w:p>
        </w:tc>
        <w:tc>
          <w:tcPr>
            <w:tcW w:w="2298" w:type="dxa"/>
            <w:tcBorders>
              <w:top w:val="single" w:color="000000" w:sz="2" w:space="0"/>
              <w:bottom w:val="single" w:color="000000" w:sz="2" w:space="0"/>
            </w:tcBorders>
            <w:noWrap w:val="0"/>
            <w:vAlign w:val="center"/>
          </w:tcPr>
          <w:p w14:paraId="0E5594C8">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val="en-US" w:eastAsia="zh-CN"/>
              </w:rPr>
            </w:pPr>
            <w:r>
              <w:rPr>
                <w:rFonts w:hint="eastAsia" w:ascii="宋体" w:hAnsi="宋体" w:eastAsia="宋体" w:cs="宋体"/>
                <w:b w:val="0"/>
                <w:bCs/>
                <w:color w:val="auto"/>
                <w:spacing w:val="8"/>
                <w:sz w:val="24"/>
                <w:szCs w:val="24"/>
                <w:highlight w:val="none"/>
                <w:lang w:val="en-US" w:eastAsia="zh-CN"/>
              </w:rPr>
              <w:t>验收费60%</w:t>
            </w:r>
          </w:p>
        </w:tc>
        <w:tc>
          <w:tcPr>
            <w:tcW w:w="1840" w:type="dxa"/>
            <w:tcBorders>
              <w:top w:val="single" w:color="000000" w:sz="2" w:space="0"/>
              <w:bottom w:val="single" w:color="000000" w:sz="2" w:space="0"/>
            </w:tcBorders>
            <w:noWrap w:val="0"/>
            <w:vAlign w:val="center"/>
          </w:tcPr>
          <w:p w14:paraId="1DD36CFE">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rPr>
            </w:pPr>
          </w:p>
        </w:tc>
      </w:tr>
      <w:tr w14:paraId="6220A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296" w:type="dxa"/>
            <w:tcBorders>
              <w:top w:val="single" w:color="000000" w:sz="2" w:space="0"/>
              <w:bottom w:val="single" w:color="000000" w:sz="2" w:space="0"/>
            </w:tcBorders>
            <w:noWrap w:val="0"/>
            <w:vAlign w:val="center"/>
          </w:tcPr>
          <w:p w14:paraId="07915285">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val="en-US" w:eastAsia="zh-CN"/>
              </w:rPr>
            </w:pPr>
            <w:r>
              <w:rPr>
                <w:rFonts w:hint="eastAsia" w:ascii="宋体" w:hAnsi="宋体" w:eastAsia="宋体" w:cs="宋体"/>
                <w:b w:val="0"/>
                <w:bCs/>
                <w:color w:val="auto"/>
                <w:spacing w:val="8"/>
                <w:sz w:val="24"/>
                <w:szCs w:val="24"/>
                <w:highlight w:val="none"/>
                <w:lang w:val="en-US" w:eastAsia="zh-CN"/>
              </w:rPr>
              <w:t>2</w:t>
            </w:r>
          </w:p>
        </w:tc>
        <w:tc>
          <w:tcPr>
            <w:tcW w:w="2725" w:type="dxa"/>
            <w:tcBorders>
              <w:top w:val="single" w:color="000000" w:sz="2" w:space="0"/>
              <w:bottom w:val="single" w:color="000000" w:sz="2" w:space="0"/>
            </w:tcBorders>
            <w:noWrap w:val="0"/>
            <w:vAlign w:val="center"/>
          </w:tcPr>
          <w:p w14:paraId="71676AAB">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eastAsia="zh-CN"/>
              </w:rPr>
            </w:pPr>
            <w:r>
              <w:rPr>
                <w:rFonts w:hint="eastAsia" w:ascii="宋体" w:hAnsi="宋体" w:eastAsia="宋体" w:cs="宋体"/>
                <w:b w:val="0"/>
                <w:bCs/>
                <w:color w:val="auto"/>
                <w:spacing w:val="8"/>
                <w:sz w:val="24"/>
                <w:szCs w:val="24"/>
                <w:highlight w:val="none"/>
                <w:lang w:eastAsia="zh-CN"/>
              </w:rPr>
              <w:t>竣工验收完成</w:t>
            </w:r>
          </w:p>
        </w:tc>
        <w:tc>
          <w:tcPr>
            <w:tcW w:w="2298" w:type="dxa"/>
            <w:tcBorders>
              <w:top w:val="single" w:color="000000" w:sz="2" w:space="0"/>
              <w:bottom w:val="single" w:color="000000" w:sz="2" w:space="0"/>
            </w:tcBorders>
            <w:noWrap w:val="0"/>
            <w:vAlign w:val="center"/>
          </w:tcPr>
          <w:p w14:paraId="05992C9A">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val="en-US" w:eastAsia="zh-CN"/>
              </w:rPr>
            </w:pPr>
            <w:r>
              <w:rPr>
                <w:rFonts w:hint="eastAsia" w:ascii="宋体" w:hAnsi="宋体" w:eastAsia="宋体" w:cs="宋体"/>
                <w:b w:val="0"/>
                <w:bCs/>
                <w:color w:val="auto"/>
                <w:spacing w:val="8"/>
                <w:sz w:val="24"/>
                <w:szCs w:val="24"/>
                <w:highlight w:val="none"/>
                <w:lang w:eastAsia="zh-CN"/>
              </w:rPr>
              <w:t>验收费</w:t>
            </w:r>
            <w:r>
              <w:rPr>
                <w:rFonts w:hint="eastAsia" w:ascii="宋体" w:hAnsi="宋体" w:eastAsia="宋体" w:cs="宋体"/>
                <w:b w:val="0"/>
                <w:bCs/>
                <w:color w:val="auto"/>
                <w:spacing w:val="8"/>
                <w:sz w:val="24"/>
                <w:szCs w:val="24"/>
                <w:highlight w:val="none"/>
                <w:lang w:val="en-US" w:eastAsia="zh-CN"/>
              </w:rPr>
              <w:t>30%及结算审核费</w:t>
            </w:r>
          </w:p>
        </w:tc>
        <w:tc>
          <w:tcPr>
            <w:tcW w:w="1840" w:type="dxa"/>
            <w:tcBorders>
              <w:top w:val="single" w:color="000000" w:sz="2" w:space="0"/>
              <w:bottom w:val="single" w:color="000000" w:sz="2" w:space="0"/>
            </w:tcBorders>
            <w:noWrap w:val="0"/>
            <w:vAlign w:val="center"/>
          </w:tcPr>
          <w:p w14:paraId="79C66ADE">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rPr>
            </w:pPr>
          </w:p>
        </w:tc>
      </w:tr>
      <w:tr w14:paraId="38C07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1296" w:type="dxa"/>
            <w:tcBorders>
              <w:top w:val="single" w:color="000000" w:sz="2" w:space="0"/>
              <w:bottom w:val="single" w:color="000000" w:sz="2" w:space="0"/>
            </w:tcBorders>
            <w:noWrap w:val="0"/>
            <w:vAlign w:val="center"/>
          </w:tcPr>
          <w:p w14:paraId="28FE9195">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val="en-US" w:eastAsia="zh-CN"/>
              </w:rPr>
            </w:pPr>
            <w:r>
              <w:rPr>
                <w:rFonts w:hint="eastAsia" w:ascii="宋体" w:hAnsi="宋体" w:eastAsia="宋体" w:cs="宋体"/>
                <w:b w:val="0"/>
                <w:bCs/>
                <w:color w:val="auto"/>
                <w:spacing w:val="8"/>
                <w:sz w:val="24"/>
                <w:szCs w:val="24"/>
                <w:highlight w:val="none"/>
                <w:lang w:val="en-US" w:eastAsia="zh-CN"/>
              </w:rPr>
              <w:t>3</w:t>
            </w:r>
          </w:p>
        </w:tc>
        <w:tc>
          <w:tcPr>
            <w:tcW w:w="2725" w:type="dxa"/>
            <w:tcBorders>
              <w:top w:val="single" w:color="000000" w:sz="2" w:space="0"/>
              <w:bottom w:val="single" w:color="000000" w:sz="2" w:space="0"/>
            </w:tcBorders>
            <w:noWrap w:val="0"/>
            <w:vAlign w:val="center"/>
          </w:tcPr>
          <w:p w14:paraId="143D02B9">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eastAsia="zh-CN"/>
              </w:rPr>
            </w:pPr>
            <w:r>
              <w:rPr>
                <w:rFonts w:hint="eastAsia" w:ascii="宋体" w:hAnsi="宋体" w:eastAsia="宋体" w:cs="宋体"/>
                <w:b w:val="0"/>
                <w:bCs/>
                <w:color w:val="auto"/>
                <w:spacing w:val="8"/>
                <w:sz w:val="24"/>
                <w:szCs w:val="24"/>
                <w:highlight w:val="none"/>
              </w:rPr>
              <w:t>审计部门</w:t>
            </w:r>
            <w:r>
              <w:rPr>
                <w:rFonts w:hint="eastAsia" w:ascii="宋体" w:hAnsi="宋体" w:eastAsia="宋体" w:cs="宋体"/>
                <w:b w:val="0"/>
                <w:bCs/>
                <w:color w:val="auto"/>
                <w:spacing w:val="8"/>
                <w:sz w:val="24"/>
                <w:szCs w:val="24"/>
                <w:highlight w:val="none"/>
                <w:lang w:eastAsia="zh-CN"/>
              </w:rPr>
              <w:t>对</w:t>
            </w:r>
            <w:r>
              <w:rPr>
                <w:rFonts w:hint="eastAsia" w:ascii="宋体" w:hAnsi="宋体" w:eastAsia="宋体" w:cs="宋体"/>
                <w:b w:val="0"/>
                <w:bCs/>
                <w:color w:val="auto"/>
                <w:spacing w:val="8"/>
                <w:sz w:val="24"/>
                <w:szCs w:val="24"/>
                <w:highlight w:val="none"/>
              </w:rPr>
              <w:t>项目审计后</w:t>
            </w:r>
          </w:p>
        </w:tc>
        <w:tc>
          <w:tcPr>
            <w:tcW w:w="2298" w:type="dxa"/>
            <w:tcBorders>
              <w:top w:val="single" w:color="000000" w:sz="2" w:space="0"/>
              <w:bottom w:val="single" w:color="000000" w:sz="2" w:space="0"/>
            </w:tcBorders>
            <w:noWrap w:val="0"/>
            <w:vAlign w:val="center"/>
          </w:tcPr>
          <w:p w14:paraId="48B1FE67">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lang w:val="en-US" w:eastAsia="zh-CN"/>
              </w:rPr>
            </w:pPr>
            <w:r>
              <w:rPr>
                <w:rFonts w:hint="eastAsia" w:ascii="宋体" w:hAnsi="宋体" w:eastAsia="宋体" w:cs="宋体"/>
                <w:b w:val="0"/>
                <w:bCs/>
                <w:color w:val="auto"/>
                <w:spacing w:val="8"/>
                <w:sz w:val="24"/>
                <w:szCs w:val="24"/>
                <w:highlight w:val="none"/>
                <w:lang w:eastAsia="zh-CN"/>
              </w:rPr>
              <w:t>验收费</w:t>
            </w:r>
            <w:r>
              <w:rPr>
                <w:rFonts w:hint="eastAsia" w:ascii="宋体" w:hAnsi="宋体" w:eastAsia="宋体" w:cs="宋体"/>
                <w:b w:val="0"/>
                <w:bCs/>
                <w:color w:val="auto"/>
                <w:spacing w:val="8"/>
                <w:sz w:val="24"/>
                <w:szCs w:val="24"/>
                <w:highlight w:val="none"/>
                <w:lang w:val="en-US" w:eastAsia="zh-CN"/>
              </w:rPr>
              <w:t>10%</w:t>
            </w:r>
          </w:p>
        </w:tc>
        <w:tc>
          <w:tcPr>
            <w:tcW w:w="1840" w:type="dxa"/>
            <w:tcBorders>
              <w:top w:val="single" w:color="000000" w:sz="2" w:space="0"/>
              <w:bottom w:val="single" w:color="000000" w:sz="2" w:space="0"/>
            </w:tcBorders>
            <w:noWrap w:val="0"/>
            <w:vAlign w:val="center"/>
          </w:tcPr>
          <w:p w14:paraId="44CEF8A4">
            <w:pPr>
              <w:keepNext w:val="0"/>
              <w:keepLines w:val="0"/>
              <w:pageBreakBefore w:val="0"/>
              <w:widowControl w:val="0"/>
              <w:kinsoku/>
              <w:wordWrap/>
              <w:overflowPunct/>
              <w:topLinePunct w:val="0"/>
              <w:autoSpaceDE/>
              <w:autoSpaceDN/>
              <w:bidi w:val="0"/>
              <w:adjustRightInd/>
              <w:snapToGrid/>
              <w:spacing w:before="46" w:line="240" w:lineRule="auto"/>
              <w:ind w:left="0"/>
              <w:jc w:val="center"/>
              <w:textAlignment w:val="auto"/>
              <w:rPr>
                <w:rFonts w:hint="eastAsia" w:ascii="宋体" w:hAnsi="宋体" w:eastAsia="宋体" w:cs="宋体"/>
                <w:b w:val="0"/>
                <w:bCs/>
                <w:color w:val="auto"/>
                <w:spacing w:val="8"/>
                <w:sz w:val="24"/>
                <w:szCs w:val="24"/>
                <w:highlight w:val="none"/>
              </w:rPr>
            </w:pPr>
          </w:p>
        </w:tc>
      </w:tr>
      <w:bookmarkEnd w:id="352"/>
      <w:bookmarkEnd w:id="353"/>
    </w:tbl>
    <w:p w14:paraId="58F83384">
      <w:pPr>
        <w:keepNext w:val="0"/>
        <w:keepLines w:val="0"/>
        <w:pageBreakBefore w:val="0"/>
        <w:kinsoku/>
        <w:wordWrap/>
        <w:overflowPunct/>
        <w:topLinePunct w:val="0"/>
        <w:autoSpaceDE/>
        <w:autoSpaceDN/>
        <w:bidi w:val="0"/>
        <w:adjustRightInd/>
        <w:snapToGrid/>
        <w:spacing w:before="185" w:line="420" w:lineRule="exact"/>
        <w:ind w:left="509"/>
        <w:textAlignment w:val="auto"/>
        <w:rPr>
          <w:rFonts w:hint="eastAsia" w:ascii="宋体" w:hAnsi="宋体" w:eastAsia="宋体" w:cs="宋体"/>
          <w:b w:val="0"/>
          <w:bCs/>
          <w:color w:val="auto"/>
          <w:sz w:val="24"/>
          <w:szCs w:val="24"/>
          <w:u w:val="none"/>
        </w:rPr>
      </w:pPr>
      <w:bookmarkStart w:id="355" w:name="_Toc23636"/>
      <w:bookmarkStart w:id="356" w:name="_Toc467877861"/>
      <w:bookmarkStart w:id="357" w:name="_Toc419045119"/>
      <w:bookmarkStart w:id="358" w:name="_Toc29882"/>
      <w:r>
        <w:rPr>
          <w:rFonts w:hint="eastAsia" w:ascii="宋体" w:hAnsi="宋体" w:eastAsia="宋体" w:cs="宋体"/>
          <w:b w:val="0"/>
          <w:bCs/>
          <w:color w:val="auto"/>
          <w:sz w:val="24"/>
          <w:szCs w:val="24"/>
          <w:u w:val="none"/>
          <w:lang w:val="en-US" w:eastAsia="zh-CN"/>
        </w:rPr>
        <w:t>每次付款前，咨询人向委托人提交支付申请。</w:t>
      </w:r>
      <w:bookmarkEnd w:id="355"/>
    </w:p>
    <w:p w14:paraId="1ED656EC">
      <w:pPr>
        <w:pStyle w:val="47"/>
        <w:keepNext w:val="0"/>
        <w:keepLines w:val="0"/>
        <w:pageBreakBefore w:val="0"/>
        <w:widowControl/>
        <w:kinsoku/>
        <w:wordWrap/>
        <w:overflowPunct/>
        <w:topLinePunct w:val="0"/>
        <w:autoSpaceDE/>
        <w:autoSpaceDN/>
        <w:bidi w:val="0"/>
        <w:adjustRightInd/>
        <w:snapToGrid/>
        <w:spacing w:before="0" w:after="0" w:line="420" w:lineRule="exact"/>
        <w:ind w:firstLine="482" w:firstLineChars="200"/>
        <w:jc w:val="left"/>
        <w:textAlignment w:val="auto"/>
        <w:rPr>
          <w:rFonts w:hint="eastAsia" w:ascii="宋体" w:hAnsi="宋体" w:eastAsia="宋体" w:cs="宋体"/>
          <w:color w:val="auto"/>
          <w:sz w:val="24"/>
          <w:szCs w:val="24"/>
        </w:rPr>
      </w:pPr>
      <w:bookmarkStart w:id="359" w:name="_Toc20438"/>
      <w:bookmarkStart w:id="360" w:name="_Toc5328"/>
      <w:r>
        <w:rPr>
          <w:rFonts w:hint="eastAsia" w:ascii="宋体" w:hAnsi="宋体" w:eastAsia="宋体" w:cs="宋体"/>
          <w:color w:val="auto"/>
          <w:sz w:val="24"/>
          <w:szCs w:val="24"/>
        </w:rPr>
        <w:t>6. 合同变更、解除与终止</w:t>
      </w:r>
      <w:bookmarkEnd w:id="356"/>
      <w:bookmarkEnd w:id="357"/>
      <w:bookmarkEnd w:id="358"/>
      <w:bookmarkEnd w:id="359"/>
      <w:bookmarkEnd w:id="360"/>
    </w:p>
    <w:p w14:paraId="25FE59F4">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361" w:name="_Toc419045120"/>
      <w:bookmarkStart w:id="362" w:name="_Toc467877862"/>
      <w:bookmarkStart w:id="363" w:name="_Toc4465"/>
      <w:bookmarkStart w:id="364" w:name="_Toc18509"/>
      <w:bookmarkStart w:id="365" w:name="_Toc16865"/>
      <w:r>
        <w:rPr>
          <w:rStyle w:val="309"/>
          <w:rFonts w:hint="eastAsia" w:ascii="宋体" w:hAnsi="宋体" w:eastAsia="宋体" w:cs="宋体"/>
          <w:b w:val="0"/>
          <w:color w:val="auto"/>
          <w:sz w:val="24"/>
          <w:szCs w:val="24"/>
        </w:rPr>
        <w:t>6.1合同变更</w:t>
      </w:r>
      <w:bookmarkEnd w:id="361"/>
      <w:bookmarkEnd w:id="362"/>
    </w:p>
    <w:bookmarkEnd w:id="363"/>
    <w:bookmarkEnd w:id="364"/>
    <w:bookmarkEnd w:id="365"/>
    <w:p w14:paraId="75307C8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6.1.2 除不可抗力外，因非咨询人原因导致本合同履行期限延长、内容增加时，附加工作酬金按下列方法确定：</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 xml:space="preserve">。 </w:t>
      </w:r>
    </w:p>
    <w:p w14:paraId="7C3EC24D">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6.1.4因工程规模、服务范围及内容的变化等导致咨询人的工作量增减时，服务酬金的调整方法：</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14:paraId="0F9B15B5">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366" w:name="_Toc26256"/>
      <w:bookmarkStart w:id="367" w:name="_Toc467877863"/>
      <w:bookmarkStart w:id="368" w:name="_Toc997"/>
      <w:bookmarkStart w:id="369" w:name="_Toc22814"/>
      <w:r>
        <w:rPr>
          <w:rFonts w:hint="eastAsia" w:ascii="宋体" w:hAnsi="宋体" w:eastAsia="宋体" w:cs="宋体"/>
          <w:b w:val="0"/>
          <w:color w:val="auto"/>
          <w:sz w:val="24"/>
          <w:szCs w:val="24"/>
        </w:rPr>
        <w:t>6.2合同解除</w:t>
      </w:r>
      <w:bookmarkEnd w:id="366"/>
      <w:bookmarkEnd w:id="367"/>
      <w:bookmarkEnd w:id="368"/>
      <w:bookmarkEnd w:id="369"/>
    </w:p>
    <w:p w14:paraId="1D019CEE">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6.2.2双方约定解除合同的条件还包括：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9563332">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6.2.4因不可抗力导致的合同解除，双方约定损失的分担如下：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D715712">
      <w:pPr>
        <w:pStyle w:val="47"/>
        <w:keepNext w:val="0"/>
        <w:keepLines w:val="0"/>
        <w:pageBreakBefore w:val="0"/>
        <w:widowControl/>
        <w:kinsoku/>
        <w:wordWrap/>
        <w:overflowPunct/>
        <w:topLinePunct w:val="0"/>
        <w:autoSpaceDE/>
        <w:autoSpaceDN/>
        <w:bidi w:val="0"/>
        <w:adjustRightInd/>
        <w:snapToGrid/>
        <w:spacing w:before="0" w:after="0" w:line="420" w:lineRule="exact"/>
        <w:ind w:firstLine="482" w:firstLineChars="200"/>
        <w:jc w:val="left"/>
        <w:textAlignment w:val="auto"/>
        <w:rPr>
          <w:rFonts w:hint="eastAsia" w:ascii="宋体" w:hAnsi="宋体" w:eastAsia="宋体" w:cs="宋体"/>
          <w:color w:val="auto"/>
          <w:sz w:val="24"/>
          <w:szCs w:val="24"/>
        </w:rPr>
      </w:pPr>
      <w:bookmarkStart w:id="370" w:name="_Toc9871"/>
      <w:bookmarkStart w:id="371" w:name="_Toc23726"/>
      <w:bookmarkStart w:id="372" w:name="_Toc419045121"/>
      <w:bookmarkStart w:id="373" w:name="_Toc467877864"/>
      <w:bookmarkStart w:id="374" w:name="_Toc30844"/>
      <w:r>
        <w:rPr>
          <w:rFonts w:hint="eastAsia" w:ascii="宋体" w:hAnsi="宋体" w:eastAsia="宋体" w:cs="宋体"/>
          <w:color w:val="auto"/>
          <w:sz w:val="24"/>
          <w:szCs w:val="24"/>
        </w:rPr>
        <w:t>7. 争议解决</w:t>
      </w:r>
      <w:bookmarkEnd w:id="370"/>
      <w:bookmarkEnd w:id="371"/>
      <w:bookmarkEnd w:id="372"/>
      <w:bookmarkEnd w:id="373"/>
      <w:bookmarkEnd w:id="374"/>
    </w:p>
    <w:p w14:paraId="1237DB8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375" w:name="_Toc467877865"/>
      <w:bookmarkStart w:id="376" w:name="_Toc419045122"/>
      <w:bookmarkStart w:id="377" w:name="_Toc9121"/>
      <w:bookmarkStart w:id="378" w:name="_Toc25626"/>
      <w:bookmarkStart w:id="379" w:name="_Toc1881"/>
      <w:r>
        <w:rPr>
          <w:rStyle w:val="309"/>
          <w:rFonts w:hint="eastAsia" w:ascii="宋体" w:hAnsi="宋体" w:eastAsia="宋体" w:cs="宋体"/>
          <w:b w:val="0"/>
          <w:color w:val="auto"/>
          <w:sz w:val="24"/>
          <w:szCs w:val="24"/>
        </w:rPr>
        <w:t>7.2调解</w:t>
      </w:r>
      <w:bookmarkEnd w:id="375"/>
      <w:bookmarkEnd w:id="376"/>
    </w:p>
    <w:bookmarkEnd w:id="377"/>
    <w:bookmarkEnd w:id="378"/>
    <w:bookmarkEnd w:id="379"/>
    <w:p w14:paraId="0CAD855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bCs w:val="0"/>
          <w:color w:val="auto"/>
          <w:kern w:val="0"/>
          <w:sz w:val="24"/>
          <w:szCs w:val="24"/>
        </w:rPr>
      </w:pPr>
      <w:r>
        <w:rPr>
          <w:rFonts w:hint="eastAsia" w:ascii="宋体" w:hAnsi="宋体" w:eastAsia="宋体" w:cs="宋体"/>
          <w:color w:val="auto"/>
          <w:sz w:val="24"/>
          <w:szCs w:val="24"/>
        </w:rPr>
        <w:t>如果双方不能在</w:t>
      </w:r>
      <w:r>
        <w:rPr>
          <w:rFonts w:hint="eastAsia" w:ascii="宋体" w:hAnsi="宋体" w:eastAsia="宋体" w:cs="宋体"/>
          <w:color w:val="auto"/>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color w:val="auto"/>
          <w:sz w:val="24"/>
          <w:szCs w:val="24"/>
        </w:rPr>
        <w:t>日内解决本合同争议，可以将其提交</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渭南市仲裁委员会</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进行调解。</w:t>
      </w:r>
    </w:p>
    <w:p w14:paraId="3D217768">
      <w:pPr>
        <w:pStyle w:val="37"/>
        <w:keepNext w:val="0"/>
        <w:keepLines w:val="0"/>
        <w:pageBreakBefore w:val="0"/>
        <w:widowControl/>
        <w:kinsoku/>
        <w:wordWrap/>
        <w:overflowPunct/>
        <w:topLinePunct w:val="0"/>
        <w:autoSpaceDE/>
        <w:autoSpaceDN/>
        <w:bidi w:val="0"/>
        <w:adjustRightInd/>
        <w:snapToGrid/>
        <w:spacing w:before="60" w:line="420" w:lineRule="exact"/>
        <w:ind w:firstLine="480" w:firstLineChars="200"/>
        <w:jc w:val="left"/>
        <w:textAlignment w:val="auto"/>
        <w:rPr>
          <w:rFonts w:hint="eastAsia" w:ascii="宋体" w:hAnsi="宋体" w:eastAsia="宋体" w:cs="宋体"/>
          <w:b w:val="0"/>
          <w:color w:val="auto"/>
          <w:sz w:val="24"/>
          <w:szCs w:val="24"/>
        </w:rPr>
      </w:pPr>
      <w:bookmarkStart w:id="380" w:name="_Toc16856"/>
      <w:bookmarkStart w:id="381" w:name="_Toc19042"/>
      <w:bookmarkStart w:id="382" w:name="_Toc467877866"/>
      <w:bookmarkStart w:id="383" w:name="_Toc29167"/>
      <w:r>
        <w:rPr>
          <w:rFonts w:hint="eastAsia" w:ascii="宋体" w:hAnsi="宋体" w:eastAsia="宋体" w:cs="宋体"/>
          <w:b w:val="0"/>
          <w:color w:val="auto"/>
          <w:sz w:val="24"/>
          <w:szCs w:val="24"/>
        </w:rPr>
        <w:t>7.3仲裁或诉讼</w:t>
      </w:r>
      <w:bookmarkEnd w:id="380"/>
      <w:bookmarkEnd w:id="381"/>
      <w:bookmarkEnd w:id="382"/>
      <w:bookmarkEnd w:id="383"/>
    </w:p>
    <w:p w14:paraId="3EDEB140">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合同争议的最终解决方式为下列第</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种方式：</w:t>
      </w:r>
    </w:p>
    <w:p w14:paraId="5878BA3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（1）提请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渭南市</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仲裁委员会进行仲裁。</w:t>
      </w:r>
    </w:p>
    <w:p w14:paraId="121344C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临渭区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人民法院提起诉讼。</w:t>
      </w:r>
    </w:p>
    <w:p w14:paraId="2A1BBC11">
      <w:pPr>
        <w:keepNext w:val="0"/>
        <w:keepLines w:val="0"/>
        <w:pageBreakBefore w:val="0"/>
        <w:widowControl/>
        <w:kinsoku/>
        <w:wordWrap/>
        <w:overflowPunct/>
        <w:topLinePunct w:val="0"/>
        <w:autoSpaceDE/>
        <w:autoSpaceDN/>
        <w:bidi w:val="0"/>
        <w:adjustRightInd/>
        <w:snapToGrid/>
        <w:spacing w:line="420" w:lineRule="exact"/>
        <w:ind w:firstLine="482" w:firstLineChars="200"/>
        <w:textAlignment w:val="auto"/>
        <w:rPr>
          <w:rStyle w:val="309"/>
          <w:rFonts w:hint="eastAsia" w:ascii="宋体" w:hAnsi="宋体" w:eastAsia="宋体" w:cs="宋体"/>
          <w:b w:val="0"/>
          <w:color w:val="auto"/>
          <w:sz w:val="24"/>
          <w:szCs w:val="24"/>
        </w:rPr>
      </w:pPr>
      <w:bookmarkStart w:id="384" w:name="_Toc467877867"/>
      <w:bookmarkStart w:id="385" w:name="_Toc20929"/>
      <w:bookmarkStart w:id="386" w:name="_Toc419045123"/>
      <w:bookmarkStart w:id="387" w:name="_Toc32307"/>
      <w:bookmarkStart w:id="388" w:name="_Toc4052"/>
      <w:r>
        <w:rPr>
          <w:rStyle w:val="308"/>
          <w:rFonts w:hint="eastAsia" w:ascii="宋体" w:hAnsi="宋体" w:eastAsia="宋体" w:cs="宋体"/>
          <w:color w:val="auto"/>
          <w:sz w:val="24"/>
          <w:szCs w:val="24"/>
        </w:rPr>
        <w:t>8. 其他</w:t>
      </w:r>
      <w:bookmarkEnd w:id="384"/>
      <w:bookmarkEnd w:id="385"/>
      <w:bookmarkEnd w:id="386"/>
      <w:bookmarkEnd w:id="387"/>
      <w:bookmarkEnd w:id="388"/>
    </w:p>
    <w:p w14:paraId="05B96E90">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bookmarkStart w:id="389" w:name="_Toc1256"/>
      <w:bookmarkStart w:id="390" w:name="_Toc15949"/>
      <w:bookmarkStart w:id="391" w:name="_Toc467877868"/>
      <w:r>
        <w:rPr>
          <w:rFonts w:hint="eastAsia" w:ascii="宋体" w:hAnsi="宋体" w:eastAsia="宋体" w:cs="宋体"/>
          <w:color w:val="auto"/>
          <w:sz w:val="24"/>
          <w:szCs w:val="24"/>
        </w:rPr>
        <w:t>8.1考察及相关费用</w:t>
      </w:r>
      <w:bookmarkEnd w:id="389"/>
      <w:bookmarkEnd w:id="390"/>
      <w:bookmarkEnd w:id="391"/>
    </w:p>
    <w:p w14:paraId="49AC1452">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w:t>
      </w:r>
      <w:r>
        <w:rPr>
          <w:rFonts w:hint="eastAsia" w:ascii="宋体" w:hAnsi="宋体" w:eastAsia="宋体" w:cs="宋体"/>
          <w:color w:val="auto"/>
          <w:sz w:val="24"/>
          <w:szCs w:val="24"/>
          <w:lang w:eastAsia="zh-CN"/>
        </w:rPr>
        <w:t>进行考察发生的费用由咨询人支付</w:t>
      </w:r>
      <w:r>
        <w:rPr>
          <w:rFonts w:hint="eastAsia" w:ascii="宋体" w:hAnsi="宋体" w:eastAsia="宋体" w:cs="宋体"/>
          <w:color w:val="auto"/>
          <w:sz w:val="24"/>
          <w:szCs w:val="24"/>
        </w:rPr>
        <w:t>。</w:t>
      </w:r>
    </w:p>
    <w:p w14:paraId="1234C474">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差旅费及相关费用的支付：</w:t>
      </w:r>
      <w:r>
        <w:rPr>
          <w:rFonts w:hint="eastAsia" w:ascii="宋体" w:hAnsi="宋体" w:eastAsia="宋体" w:cs="宋体"/>
          <w:color w:val="auto"/>
          <w:sz w:val="24"/>
          <w:szCs w:val="24"/>
          <w:u w:val="single"/>
          <w:lang w:eastAsia="zh-CN"/>
        </w:rPr>
        <w:t>由咨询人自行承担</w:t>
      </w:r>
      <w:r>
        <w:rPr>
          <w:rFonts w:hint="eastAsia" w:ascii="宋体" w:hAnsi="宋体" w:eastAsia="宋体" w:cs="宋体"/>
          <w:color w:val="auto"/>
          <w:sz w:val="24"/>
          <w:szCs w:val="24"/>
        </w:rPr>
        <w:t>。</w:t>
      </w:r>
    </w:p>
    <w:p w14:paraId="59523E92">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392" w:name="_Toc467877869"/>
      <w:bookmarkStart w:id="393" w:name="_Toc13417"/>
      <w:bookmarkStart w:id="394" w:name="_Toc11309"/>
      <w:bookmarkStart w:id="395" w:name="_Toc2708"/>
      <w:r>
        <w:rPr>
          <w:rStyle w:val="309"/>
          <w:rFonts w:hint="eastAsia" w:ascii="宋体" w:hAnsi="宋体" w:eastAsia="宋体" w:cs="宋体"/>
          <w:b w:val="0"/>
          <w:color w:val="auto"/>
          <w:sz w:val="24"/>
          <w:szCs w:val="24"/>
        </w:rPr>
        <w:t>8.2奖励</w:t>
      </w:r>
      <w:bookmarkEnd w:id="392"/>
    </w:p>
    <w:bookmarkEnd w:id="393"/>
    <w:bookmarkEnd w:id="394"/>
    <w:bookmarkEnd w:id="395"/>
    <w:p w14:paraId="2AD4AD40">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r>
        <w:rPr>
          <w:rFonts w:hint="eastAsia" w:ascii="宋体" w:hAnsi="宋体" w:eastAsia="宋体" w:cs="宋体"/>
          <w:color w:val="auto"/>
          <w:sz w:val="24"/>
          <w:szCs w:val="24"/>
        </w:rPr>
        <w:t>合理化建议的奖励金额按下列方法确定：</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 xml:space="preserve">。 </w:t>
      </w:r>
    </w:p>
    <w:p w14:paraId="2E4911B2">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396" w:name="_Toc467877870"/>
      <w:bookmarkStart w:id="397" w:name="_Toc24829"/>
      <w:bookmarkStart w:id="398" w:name="_Toc11529"/>
      <w:bookmarkStart w:id="399" w:name="_Toc5958"/>
      <w:r>
        <w:rPr>
          <w:rStyle w:val="309"/>
          <w:rFonts w:hint="eastAsia" w:ascii="宋体" w:hAnsi="宋体" w:eastAsia="宋体" w:cs="宋体"/>
          <w:b w:val="0"/>
          <w:color w:val="auto"/>
          <w:sz w:val="24"/>
          <w:szCs w:val="24"/>
        </w:rPr>
        <w:t>8.3保密</w:t>
      </w:r>
      <w:bookmarkEnd w:id="396"/>
    </w:p>
    <w:bookmarkEnd w:id="397"/>
    <w:bookmarkEnd w:id="398"/>
    <w:bookmarkEnd w:id="399"/>
    <w:p w14:paraId="150AB6F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委托人申明的保密事项和期限：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00F93B0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咨询人申明的保密事项和期限：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3B9C97A">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第三人申明的保密事项和期限：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68B850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Style w:val="309"/>
          <w:rFonts w:hint="eastAsia" w:ascii="宋体" w:hAnsi="宋体" w:eastAsia="宋体" w:cs="宋体"/>
          <w:b w:val="0"/>
          <w:color w:val="auto"/>
          <w:sz w:val="24"/>
          <w:szCs w:val="24"/>
        </w:rPr>
      </w:pPr>
      <w:bookmarkStart w:id="400" w:name="_Toc29371"/>
      <w:bookmarkStart w:id="401" w:name="_Toc467877871"/>
      <w:bookmarkStart w:id="402" w:name="_Toc30657"/>
      <w:bookmarkStart w:id="403" w:name="_Toc30019"/>
      <w:r>
        <w:rPr>
          <w:rStyle w:val="309"/>
          <w:rFonts w:hint="eastAsia" w:ascii="宋体" w:hAnsi="宋体" w:eastAsia="宋体" w:cs="宋体"/>
          <w:b w:val="0"/>
          <w:color w:val="auto"/>
          <w:sz w:val="24"/>
          <w:szCs w:val="24"/>
        </w:rPr>
        <w:t>8.4联络</w:t>
      </w:r>
      <w:bookmarkEnd w:id="400"/>
      <w:bookmarkEnd w:id="401"/>
      <w:bookmarkEnd w:id="402"/>
    </w:p>
    <w:bookmarkEnd w:id="403"/>
    <w:p w14:paraId="54F08A53">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8.4.1任何一方与合同有关的通知、指示、要求、决定等，均应在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FF0000"/>
          <w:sz w:val="24"/>
          <w:szCs w:val="24"/>
          <w:u w:val="single"/>
          <w:lang w:val="en-US" w:eastAsia="zh-CN"/>
        </w:rPr>
        <w:t xml:space="preserve">  </w:t>
      </w:r>
      <w:bookmarkStart w:id="428" w:name="_GoBack"/>
      <w:bookmarkEnd w:id="428"/>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日内送达对方指定的接收人和送达地点。</w:t>
      </w:r>
    </w:p>
    <w:p w14:paraId="0CD480C1">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8.4.2委托人指定的送达接收人：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，送达地点：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，电子邮箱：</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23F01DB7">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咨询人指定的送达接收人：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，送达地点</w:t>
      </w:r>
      <w:r>
        <w:rPr>
          <w:rFonts w:hint="eastAsia" w:ascii="宋体" w:hAnsi="宋体" w:eastAsia="宋体" w:cs="宋体"/>
          <w:color w:val="auto"/>
          <w:sz w:val="24"/>
          <w:szCs w:val="24"/>
          <w:u w:val="non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，电子邮箱：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E4A560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bookmarkStart w:id="404" w:name="_Toc419045124"/>
      <w:r>
        <w:rPr>
          <w:rFonts w:hint="eastAsia" w:ascii="宋体" w:hAnsi="宋体" w:eastAsia="宋体" w:cs="宋体"/>
          <w:color w:val="auto"/>
          <w:sz w:val="24"/>
          <w:szCs w:val="24"/>
        </w:rPr>
        <w:t>8.5知识产权</w:t>
      </w:r>
      <w:bookmarkEnd w:id="404"/>
    </w:p>
    <w:p w14:paraId="17A8005C">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委托人提供给咨询人的图纸、委托人为实施工程自行编制或委托编制的技术规范以及反映委托人要求的或其他类似性质文件的著作权属于</w:t>
      </w:r>
      <w:r>
        <w:rPr>
          <w:rFonts w:hint="eastAsia" w:ascii="宋体" w:hAnsi="宋体" w:eastAsia="宋体" w:cs="宋体"/>
          <w:color w:val="auto"/>
          <w:sz w:val="24"/>
          <w:szCs w:val="24"/>
          <w:u w:val="single"/>
          <w:lang w:val="en-US" w:eastAsia="zh-CN"/>
        </w:rPr>
        <w:t xml:space="preserve"> 委托人 </w:t>
      </w:r>
      <w:r>
        <w:rPr>
          <w:rFonts w:hint="eastAsia" w:ascii="宋体" w:hAnsi="宋体" w:eastAsia="宋体" w:cs="宋体"/>
          <w:color w:val="auto"/>
          <w:sz w:val="24"/>
          <w:szCs w:val="24"/>
        </w:rPr>
        <w:t>。</w:t>
      </w:r>
    </w:p>
    <w:p w14:paraId="223E2B88">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咨询人为履行本合同约定而编制的成果文件，其著作权属于</w:t>
      </w:r>
      <w:r>
        <w:rPr>
          <w:rFonts w:hint="eastAsia" w:ascii="宋体" w:hAnsi="宋体" w:eastAsia="宋体" w:cs="宋体"/>
          <w:color w:val="auto"/>
          <w:sz w:val="24"/>
          <w:szCs w:val="24"/>
          <w:u w:val="single"/>
          <w:lang w:val="en-US" w:eastAsia="zh-CN"/>
        </w:rPr>
        <w:t xml:space="preserve"> 委托人 </w:t>
      </w:r>
      <w:r>
        <w:rPr>
          <w:rFonts w:hint="eastAsia" w:ascii="宋体" w:hAnsi="宋体" w:eastAsia="宋体" w:cs="宋体"/>
          <w:color w:val="auto"/>
          <w:sz w:val="24"/>
          <w:szCs w:val="24"/>
        </w:rPr>
        <w:t>。</w:t>
      </w:r>
      <w:bookmarkStart w:id="405" w:name="_Toc467877872"/>
      <w:bookmarkStart w:id="406" w:name="_Toc419045125"/>
      <w:bookmarkStart w:id="407" w:name="_Toc2987"/>
    </w:p>
    <w:p w14:paraId="1623B44A">
      <w:pPr>
        <w:keepNext w:val="0"/>
        <w:keepLines w:val="0"/>
        <w:pageBreakBefore w:val="0"/>
        <w:widowControl/>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color w:val="auto"/>
          <w:kern w:val="0"/>
          <w:sz w:val="28"/>
          <w:szCs w:val="28"/>
          <w:lang w:val="en-US" w:eastAsia="zh-CN"/>
        </w:rPr>
      </w:pPr>
      <w:bookmarkStart w:id="408" w:name="_Toc27009"/>
      <w:bookmarkStart w:id="409" w:name="_Toc25468"/>
      <w:r>
        <w:rPr>
          <w:rStyle w:val="308"/>
          <w:rFonts w:hint="eastAsia" w:ascii="宋体" w:hAnsi="宋体" w:eastAsia="宋体" w:cs="宋体"/>
          <w:color w:val="auto"/>
          <w:sz w:val="24"/>
          <w:szCs w:val="24"/>
        </w:rPr>
        <w:t>9.补充条款</w:t>
      </w:r>
      <w:bookmarkEnd w:id="405"/>
      <w:bookmarkEnd w:id="406"/>
      <w:r>
        <w:rPr>
          <w:rStyle w:val="308"/>
          <w:rFonts w:hint="eastAsia" w:ascii="宋体" w:hAnsi="宋体" w:eastAsia="宋体" w:cs="宋体"/>
          <w:color w:val="auto"/>
          <w:sz w:val="24"/>
          <w:szCs w:val="24"/>
          <w:lang w:eastAsia="zh-CN"/>
        </w:rPr>
        <w:t>：</w:t>
      </w:r>
      <w:bookmarkEnd w:id="407"/>
      <w:bookmarkEnd w:id="408"/>
      <w:bookmarkEnd w:id="409"/>
      <w:r>
        <w:rPr>
          <w:rFonts w:hint="eastAsia" w:ascii="宋体" w:hAnsi="宋体" w:eastAsia="宋体" w:cs="宋体"/>
          <w:color w:val="auto"/>
          <w:sz w:val="24"/>
          <w:szCs w:val="24"/>
          <w:lang w:eastAsia="zh-CN"/>
        </w:rPr>
        <w:t>发生时另行约定。</w:t>
      </w:r>
    </w:p>
    <w:p w14:paraId="13548A77">
      <w:pPr>
        <w:rPr>
          <w:rFonts w:hint="eastAsia" w:ascii="宋体" w:hAnsi="宋体" w:eastAsia="宋体" w:cs="宋体"/>
          <w:color w:val="auto"/>
          <w:kern w:val="0"/>
          <w:sz w:val="28"/>
          <w:szCs w:val="28"/>
        </w:rPr>
      </w:pPr>
    </w:p>
    <w:p w14:paraId="74E299ED">
      <w:pPr>
        <w:pStyle w:val="2"/>
        <w:rPr>
          <w:rFonts w:hint="eastAsia" w:ascii="宋体" w:hAnsi="宋体" w:eastAsia="宋体" w:cs="宋体"/>
          <w:color w:val="auto"/>
          <w:kern w:val="0"/>
          <w:sz w:val="28"/>
          <w:szCs w:val="28"/>
        </w:rPr>
      </w:pPr>
    </w:p>
    <w:p w14:paraId="1A3F2D79">
      <w:pPr>
        <w:rPr>
          <w:rFonts w:hint="eastAsia" w:ascii="宋体" w:hAnsi="宋体" w:eastAsia="宋体" w:cs="宋体"/>
          <w:color w:val="auto"/>
          <w:kern w:val="0"/>
          <w:sz w:val="28"/>
          <w:szCs w:val="28"/>
        </w:rPr>
      </w:pPr>
    </w:p>
    <w:p w14:paraId="7174FFB7">
      <w:pPr>
        <w:pStyle w:val="2"/>
        <w:rPr>
          <w:rFonts w:hint="eastAsia" w:ascii="宋体" w:hAnsi="宋体" w:eastAsia="宋体" w:cs="宋体"/>
          <w:color w:val="auto"/>
          <w:kern w:val="0"/>
          <w:sz w:val="28"/>
          <w:szCs w:val="28"/>
        </w:rPr>
      </w:pPr>
    </w:p>
    <w:p w14:paraId="33B0C4A8">
      <w:pPr>
        <w:rPr>
          <w:rFonts w:hint="eastAsia" w:ascii="宋体" w:hAnsi="宋体" w:eastAsia="宋体" w:cs="宋体"/>
          <w:color w:val="auto"/>
          <w:kern w:val="0"/>
          <w:sz w:val="28"/>
          <w:szCs w:val="28"/>
        </w:rPr>
      </w:pPr>
    </w:p>
    <w:p w14:paraId="29D3A9E3">
      <w:pPr>
        <w:pStyle w:val="2"/>
        <w:rPr>
          <w:rFonts w:hint="eastAsia" w:ascii="宋体" w:hAnsi="宋体" w:eastAsia="宋体" w:cs="宋体"/>
          <w:color w:val="auto"/>
          <w:kern w:val="0"/>
          <w:sz w:val="28"/>
          <w:szCs w:val="28"/>
        </w:rPr>
      </w:pPr>
    </w:p>
    <w:p w14:paraId="476FDEEE">
      <w:pPr>
        <w:rPr>
          <w:rFonts w:hint="eastAsia" w:ascii="宋体" w:hAnsi="宋体" w:eastAsia="宋体" w:cs="宋体"/>
          <w:color w:val="auto"/>
          <w:kern w:val="0"/>
          <w:sz w:val="28"/>
          <w:szCs w:val="28"/>
        </w:rPr>
      </w:pPr>
    </w:p>
    <w:p w14:paraId="60F57213">
      <w:pPr>
        <w:pStyle w:val="2"/>
        <w:rPr>
          <w:rFonts w:hint="eastAsia" w:ascii="宋体" w:hAnsi="宋体" w:eastAsia="宋体" w:cs="宋体"/>
          <w:color w:val="auto"/>
          <w:kern w:val="0"/>
          <w:sz w:val="28"/>
          <w:szCs w:val="28"/>
        </w:rPr>
      </w:pPr>
    </w:p>
    <w:p w14:paraId="5D92E5C7">
      <w:pPr>
        <w:rPr>
          <w:rFonts w:hint="eastAsia"/>
        </w:rPr>
      </w:pPr>
    </w:p>
    <w:p w14:paraId="348E1E3E">
      <w:pPr>
        <w:pStyle w:val="2"/>
        <w:ind w:firstLine="422" w:firstLineChars="200"/>
        <w:rPr>
          <w:rFonts w:hint="eastAsia" w:ascii="宋体" w:hAnsi="宋体" w:eastAsia="宋体" w:cs="宋体"/>
          <w:b/>
          <w:bCs/>
          <w:color w:val="auto"/>
          <w:lang w:eastAsia="zh-CN"/>
        </w:rPr>
      </w:pPr>
    </w:p>
    <w:p w14:paraId="716B85E6">
      <w:pPr>
        <w:pStyle w:val="5"/>
        <w:adjustRightInd w:val="0"/>
        <w:snapToGrid w:val="0"/>
        <w:spacing w:line="240" w:lineRule="auto"/>
        <w:ind w:left="12"/>
        <w:jc w:val="center"/>
        <w:rPr>
          <w:rFonts w:hint="eastAsia" w:ascii="宋体" w:hAnsi="宋体" w:eastAsia="宋体" w:cs="宋体"/>
          <w:b/>
          <w:bCs/>
          <w:color w:val="auto"/>
          <w:sz w:val="30"/>
          <w:szCs w:val="30"/>
        </w:rPr>
      </w:pPr>
      <w:bookmarkStart w:id="410" w:name="_Toc25056"/>
      <w:bookmarkStart w:id="411" w:name="_Toc28450"/>
      <w:bookmarkStart w:id="412" w:name="_Toc3963"/>
      <w:bookmarkStart w:id="413" w:name="_Toc3618"/>
      <w:bookmarkStart w:id="414" w:name="_Toc10107540"/>
      <w:r>
        <w:rPr>
          <w:rFonts w:hint="eastAsia" w:ascii="宋体" w:hAnsi="宋体" w:eastAsia="宋体" w:cs="宋体"/>
          <w:b/>
          <w:bCs/>
          <w:color w:val="auto"/>
          <w:sz w:val="30"/>
          <w:szCs w:val="30"/>
        </w:rPr>
        <w:t>附录A</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rPr>
        <w:t>服务范围及工作内容、酬金一览表</w:t>
      </w:r>
      <w:bookmarkEnd w:id="410"/>
      <w:bookmarkEnd w:id="411"/>
      <w:bookmarkEnd w:id="412"/>
      <w:bookmarkEnd w:id="413"/>
      <w:bookmarkEnd w:id="414"/>
    </w:p>
    <w:tbl>
      <w:tblPr>
        <w:tblStyle w:val="51"/>
        <w:tblW w:w="89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
        <w:gridCol w:w="1244"/>
        <w:gridCol w:w="1381"/>
        <w:gridCol w:w="1466"/>
        <w:gridCol w:w="699"/>
        <w:gridCol w:w="1210"/>
        <w:gridCol w:w="2045"/>
        <w:gridCol w:w="916"/>
      </w:tblGrid>
      <w:tr w14:paraId="1F04F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 w:type="dxa"/>
          <w:trHeight w:val="850" w:hRule="atLeast"/>
          <w:jc w:val="center"/>
        </w:trPr>
        <w:tc>
          <w:tcPr>
            <w:tcW w:w="1244" w:type="dxa"/>
            <w:vMerge w:val="restart"/>
            <w:tcBorders>
              <w:tl2br w:val="nil"/>
              <w:tr2bl w:val="nil"/>
            </w:tcBorders>
            <w:noWrap w:val="0"/>
            <w:vAlign w:val="center"/>
          </w:tcPr>
          <w:p w14:paraId="4DCF91C4">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服务阶段</w:t>
            </w:r>
          </w:p>
        </w:tc>
        <w:tc>
          <w:tcPr>
            <w:tcW w:w="2847" w:type="dxa"/>
            <w:gridSpan w:val="2"/>
            <w:tcBorders>
              <w:tl2br w:val="nil"/>
              <w:tr2bl w:val="nil"/>
            </w:tcBorders>
            <w:noWrap w:val="0"/>
            <w:vAlign w:val="center"/>
          </w:tcPr>
          <w:p w14:paraId="062939B9">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服务范围及工作内容</w:t>
            </w:r>
          </w:p>
        </w:tc>
        <w:tc>
          <w:tcPr>
            <w:tcW w:w="3954" w:type="dxa"/>
            <w:gridSpan w:val="3"/>
            <w:tcBorders>
              <w:tl2br w:val="nil"/>
              <w:tr2bl w:val="nil"/>
            </w:tcBorders>
            <w:noWrap w:val="0"/>
            <w:vAlign w:val="center"/>
          </w:tcPr>
          <w:p w14:paraId="6F59CB24">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酬金</w:t>
            </w:r>
          </w:p>
        </w:tc>
        <w:tc>
          <w:tcPr>
            <w:tcW w:w="916" w:type="dxa"/>
            <w:tcBorders>
              <w:tl2br w:val="nil"/>
              <w:tr2bl w:val="nil"/>
            </w:tcBorders>
            <w:noWrap w:val="0"/>
            <w:vAlign w:val="center"/>
          </w:tcPr>
          <w:p w14:paraId="644BDCA1">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备注</w:t>
            </w:r>
          </w:p>
        </w:tc>
      </w:tr>
      <w:tr w14:paraId="1A588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 w:type="dxa"/>
          <w:trHeight w:val="850" w:hRule="atLeast"/>
          <w:jc w:val="center"/>
        </w:trPr>
        <w:tc>
          <w:tcPr>
            <w:tcW w:w="1244" w:type="dxa"/>
            <w:vMerge w:val="continue"/>
            <w:tcBorders>
              <w:tl2br w:val="nil"/>
              <w:tr2bl w:val="nil"/>
            </w:tcBorders>
            <w:noWrap w:val="0"/>
            <w:vAlign w:val="center"/>
          </w:tcPr>
          <w:p w14:paraId="42062544">
            <w:pPr>
              <w:adjustRightInd w:val="0"/>
              <w:snapToGrid w:val="0"/>
              <w:spacing w:line="240" w:lineRule="auto"/>
              <w:jc w:val="center"/>
              <w:rPr>
                <w:rFonts w:hint="eastAsia" w:ascii="宋体" w:hAnsi="宋体" w:eastAsia="宋体" w:cs="宋体"/>
                <w:b w:val="0"/>
                <w:bCs w:val="0"/>
                <w:color w:val="auto"/>
                <w:sz w:val="24"/>
                <w:szCs w:val="24"/>
              </w:rPr>
            </w:pPr>
          </w:p>
        </w:tc>
        <w:tc>
          <w:tcPr>
            <w:tcW w:w="1381" w:type="dxa"/>
            <w:tcBorders>
              <w:tl2br w:val="nil"/>
              <w:tr2bl w:val="nil"/>
            </w:tcBorders>
            <w:noWrap w:val="0"/>
            <w:vAlign w:val="center"/>
          </w:tcPr>
          <w:p w14:paraId="21F2FE38">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服务范围</w:t>
            </w:r>
          </w:p>
        </w:tc>
        <w:tc>
          <w:tcPr>
            <w:tcW w:w="1466" w:type="dxa"/>
            <w:tcBorders>
              <w:tl2br w:val="nil"/>
              <w:tr2bl w:val="nil"/>
            </w:tcBorders>
            <w:noWrap w:val="0"/>
            <w:vAlign w:val="center"/>
          </w:tcPr>
          <w:p w14:paraId="2BB74F10">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工作内容</w:t>
            </w:r>
          </w:p>
        </w:tc>
        <w:tc>
          <w:tcPr>
            <w:tcW w:w="699" w:type="dxa"/>
            <w:tcBorders>
              <w:tl2br w:val="nil"/>
              <w:tr2bl w:val="nil"/>
            </w:tcBorders>
            <w:noWrap w:val="0"/>
            <w:vAlign w:val="center"/>
          </w:tcPr>
          <w:p w14:paraId="2C4FB8AC">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收费基数</w:t>
            </w:r>
          </w:p>
        </w:tc>
        <w:tc>
          <w:tcPr>
            <w:tcW w:w="1210" w:type="dxa"/>
            <w:tcBorders>
              <w:tl2br w:val="nil"/>
              <w:tr2bl w:val="nil"/>
            </w:tcBorders>
            <w:noWrap w:val="0"/>
            <w:vAlign w:val="center"/>
          </w:tcPr>
          <w:p w14:paraId="453B7C72">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收费标准（比例）</w:t>
            </w:r>
          </w:p>
        </w:tc>
        <w:tc>
          <w:tcPr>
            <w:tcW w:w="2045" w:type="dxa"/>
            <w:tcBorders>
              <w:tl2br w:val="nil"/>
              <w:tr2bl w:val="nil"/>
            </w:tcBorders>
            <w:noWrap w:val="0"/>
            <w:vAlign w:val="center"/>
          </w:tcPr>
          <w:p w14:paraId="375622B4">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酬金数额</w:t>
            </w:r>
          </w:p>
          <w:p w14:paraId="74031DDE">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（单位：元）</w:t>
            </w:r>
          </w:p>
        </w:tc>
        <w:tc>
          <w:tcPr>
            <w:tcW w:w="916" w:type="dxa"/>
            <w:tcBorders>
              <w:tl2br w:val="nil"/>
              <w:tr2bl w:val="nil"/>
            </w:tcBorders>
            <w:noWrap w:val="0"/>
            <w:vAlign w:val="center"/>
          </w:tcPr>
          <w:p w14:paraId="4FCC9F6E">
            <w:pPr>
              <w:adjustRightInd w:val="0"/>
              <w:snapToGrid w:val="0"/>
              <w:spacing w:line="240" w:lineRule="auto"/>
              <w:jc w:val="center"/>
              <w:rPr>
                <w:rFonts w:hint="eastAsia" w:ascii="宋体" w:hAnsi="宋体" w:eastAsia="宋体" w:cs="宋体"/>
                <w:b w:val="0"/>
                <w:bCs w:val="0"/>
                <w:color w:val="auto"/>
                <w:sz w:val="24"/>
                <w:szCs w:val="24"/>
              </w:rPr>
            </w:pPr>
          </w:p>
        </w:tc>
      </w:tr>
      <w:tr w14:paraId="7A133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jc w:val="center"/>
        </w:trPr>
        <w:tc>
          <w:tcPr>
            <w:tcW w:w="1245" w:type="dxa"/>
            <w:gridSpan w:val="2"/>
            <w:tcBorders>
              <w:tl2br w:val="nil"/>
              <w:tr2bl w:val="nil"/>
            </w:tcBorders>
            <w:noWrap w:val="0"/>
            <w:vAlign w:val="center"/>
          </w:tcPr>
          <w:p w14:paraId="1520F1BC">
            <w:pPr>
              <w:adjustRightInd w:val="0"/>
              <w:snapToGrid w:val="0"/>
              <w:spacing w:line="240" w:lineRule="auto"/>
              <w:jc w:val="center"/>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实施阶段</w:t>
            </w:r>
          </w:p>
        </w:tc>
        <w:tc>
          <w:tcPr>
            <w:tcW w:w="1381" w:type="dxa"/>
            <w:tcBorders>
              <w:tl2br w:val="nil"/>
              <w:tr2bl w:val="nil"/>
            </w:tcBorders>
            <w:noWrap w:val="0"/>
            <w:vAlign w:val="center"/>
          </w:tcPr>
          <w:p w14:paraId="0DB96253">
            <w:pPr>
              <w:pStyle w:val="311"/>
              <w:adjustRightInd w:val="0"/>
              <w:snapToGrid w:val="0"/>
              <w:spacing w:line="240" w:lineRule="auto"/>
              <w:jc w:val="center"/>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阶段性验收</w:t>
            </w:r>
          </w:p>
        </w:tc>
        <w:tc>
          <w:tcPr>
            <w:tcW w:w="1466" w:type="dxa"/>
            <w:vMerge w:val="restart"/>
            <w:tcBorders>
              <w:tl2br w:val="nil"/>
              <w:tr2bl w:val="nil"/>
            </w:tcBorders>
            <w:noWrap w:val="0"/>
            <w:vAlign w:val="center"/>
          </w:tcPr>
          <w:p w14:paraId="73187852">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sym w:font="Wingdings 2" w:char="0052"/>
            </w:r>
            <w:r>
              <w:rPr>
                <w:rFonts w:hint="eastAsia" w:ascii="宋体" w:hAnsi="宋体" w:eastAsia="宋体" w:cs="宋体"/>
                <w:b w:val="0"/>
                <w:bCs w:val="0"/>
                <w:color w:val="auto"/>
                <w:sz w:val="24"/>
                <w:szCs w:val="24"/>
              </w:rPr>
              <w:t>编制</w:t>
            </w:r>
            <w:r>
              <w:rPr>
                <w:rFonts w:hint="eastAsia" w:ascii="宋体" w:hAnsi="宋体" w:eastAsia="宋体" w:cs="宋体"/>
                <w:b w:val="0"/>
                <w:bCs w:val="0"/>
                <w:color w:val="auto"/>
                <w:sz w:val="24"/>
                <w:szCs w:val="24"/>
              </w:rPr>
              <w:sym w:font="Wingdings 2" w:char="0052"/>
            </w:r>
            <w:r>
              <w:rPr>
                <w:rFonts w:hint="eastAsia" w:ascii="宋体" w:hAnsi="宋体" w:eastAsia="宋体" w:cs="宋体"/>
                <w:b w:val="0"/>
                <w:bCs w:val="0"/>
                <w:color w:val="auto"/>
                <w:sz w:val="24"/>
                <w:szCs w:val="24"/>
              </w:rPr>
              <w:t>审核</w:t>
            </w:r>
          </w:p>
        </w:tc>
        <w:tc>
          <w:tcPr>
            <w:tcW w:w="3954" w:type="dxa"/>
            <w:gridSpan w:val="3"/>
            <w:vMerge w:val="restart"/>
            <w:tcBorders>
              <w:tl2br w:val="nil"/>
              <w:tr2bl w:val="nil"/>
            </w:tcBorders>
            <w:noWrap w:val="0"/>
            <w:vAlign w:val="center"/>
          </w:tcPr>
          <w:p w14:paraId="11D6D786">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验收费中标价</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元</w:t>
            </w:r>
            <w:r>
              <w:rPr>
                <w:rFonts w:hint="eastAsia" w:ascii="宋体" w:hAnsi="宋体" w:eastAsia="宋体" w:cs="宋体"/>
                <w:b w:val="0"/>
                <w:bCs w:val="0"/>
                <w:color w:val="auto"/>
                <w:sz w:val="24"/>
                <w:szCs w:val="24"/>
                <w:lang w:eastAsia="zh-CN"/>
              </w:rPr>
              <w:t>。</w:t>
            </w:r>
          </w:p>
        </w:tc>
        <w:tc>
          <w:tcPr>
            <w:tcW w:w="916" w:type="dxa"/>
            <w:tcBorders>
              <w:tl2br w:val="nil"/>
              <w:tr2bl w:val="nil"/>
            </w:tcBorders>
            <w:noWrap w:val="0"/>
            <w:vAlign w:val="center"/>
          </w:tcPr>
          <w:p w14:paraId="2A8FB8A7">
            <w:pPr>
              <w:adjustRightInd w:val="0"/>
              <w:snapToGrid w:val="0"/>
              <w:spacing w:line="240" w:lineRule="auto"/>
              <w:jc w:val="center"/>
              <w:rPr>
                <w:rFonts w:hint="eastAsia" w:ascii="宋体" w:hAnsi="宋体" w:eastAsia="宋体" w:cs="宋体"/>
                <w:b w:val="0"/>
                <w:bCs w:val="0"/>
                <w:color w:val="auto"/>
                <w:sz w:val="24"/>
                <w:szCs w:val="24"/>
              </w:rPr>
            </w:pPr>
          </w:p>
        </w:tc>
      </w:tr>
      <w:tr w14:paraId="71BDE3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jc w:val="center"/>
        </w:trPr>
        <w:tc>
          <w:tcPr>
            <w:tcW w:w="1245" w:type="dxa"/>
            <w:gridSpan w:val="2"/>
            <w:vMerge w:val="restart"/>
            <w:tcBorders>
              <w:tl2br w:val="nil"/>
              <w:tr2bl w:val="nil"/>
            </w:tcBorders>
            <w:noWrap w:val="0"/>
            <w:vAlign w:val="center"/>
          </w:tcPr>
          <w:p w14:paraId="256984BA">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竣工阶段</w:t>
            </w:r>
          </w:p>
        </w:tc>
        <w:tc>
          <w:tcPr>
            <w:tcW w:w="1381" w:type="dxa"/>
            <w:tcBorders>
              <w:tl2br w:val="nil"/>
              <w:tr2bl w:val="nil"/>
            </w:tcBorders>
            <w:noWrap w:val="0"/>
            <w:vAlign w:val="center"/>
          </w:tcPr>
          <w:p w14:paraId="1273BE03">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竣工验收</w:t>
            </w:r>
          </w:p>
        </w:tc>
        <w:tc>
          <w:tcPr>
            <w:tcW w:w="1466" w:type="dxa"/>
            <w:vMerge w:val="continue"/>
            <w:tcBorders>
              <w:tl2br w:val="nil"/>
              <w:tr2bl w:val="nil"/>
            </w:tcBorders>
            <w:noWrap w:val="0"/>
            <w:vAlign w:val="center"/>
          </w:tcPr>
          <w:p w14:paraId="10A1B993">
            <w:pPr>
              <w:adjustRightInd w:val="0"/>
              <w:snapToGrid w:val="0"/>
              <w:spacing w:line="240" w:lineRule="auto"/>
              <w:jc w:val="center"/>
              <w:rPr>
                <w:rFonts w:hint="eastAsia" w:ascii="宋体" w:hAnsi="宋体" w:eastAsia="宋体" w:cs="宋体"/>
                <w:b w:val="0"/>
                <w:bCs w:val="0"/>
                <w:color w:val="auto"/>
                <w:sz w:val="24"/>
                <w:szCs w:val="24"/>
              </w:rPr>
            </w:pPr>
          </w:p>
        </w:tc>
        <w:tc>
          <w:tcPr>
            <w:tcW w:w="3954" w:type="dxa"/>
            <w:gridSpan w:val="3"/>
            <w:vMerge w:val="continue"/>
            <w:tcBorders>
              <w:tl2br w:val="nil"/>
              <w:tr2bl w:val="nil"/>
            </w:tcBorders>
            <w:noWrap w:val="0"/>
            <w:vAlign w:val="center"/>
          </w:tcPr>
          <w:p w14:paraId="4FC30A95">
            <w:pPr>
              <w:adjustRightInd w:val="0"/>
              <w:snapToGrid w:val="0"/>
              <w:spacing w:line="240" w:lineRule="auto"/>
              <w:jc w:val="center"/>
              <w:rPr>
                <w:rFonts w:hint="eastAsia" w:ascii="宋体" w:hAnsi="宋体" w:eastAsia="宋体" w:cs="宋体"/>
                <w:b w:val="0"/>
                <w:bCs w:val="0"/>
                <w:color w:val="auto"/>
                <w:sz w:val="24"/>
                <w:szCs w:val="24"/>
                <w:lang w:eastAsia="zh-CN"/>
              </w:rPr>
            </w:pPr>
          </w:p>
        </w:tc>
        <w:tc>
          <w:tcPr>
            <w:tcW w:w="916" w:type="dxa"/>
            <w:tcBorders>
              <w:tl2br w:val="nil"/>
              <w:tr2bl w:val="nil"/>
            </w:tcBorders>
            <w:noWrap w:val="0"/>
            <w:vAlign w:val="center"/>
          </w:tcPr>
          <w:p w14:paraId="3BB68E06">
            <w:pPr>
              <w:adjustRightInd w:val="0"/>
              <w:snapToGrid w:val="0"/>
              <w:spacing w:line="240" w:lineRule="auto"/>
              <w:jc w:val="center"/>
              <w:rPr>
                <w:rFonts w:hint="eastAsia" w:ascii="宋体" w:hAnsi="宋体" w:eastAsia="宋体" w:cs="宋体"/>
                <w:b w:val="0"/>
                <w:bCs w:val="0"/>
                <w:color w:val="auto"/>
                <w:sz w:val="24"/>
                <w:szCs w:val="24"/>
              </w:rPr>
            </w:pPr>
          </w:p>
        </w:tc>
      </w:tr>
      <w:tr w14:paraId="26447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jc w:val="center"/>
        </w:trPr>
        <w:tc>
          <w:tcPr>
            <w:tcW w:w="1245" w:type="dxa"/>
            <w:gridSpan w:val="2"/>
            <w:vMerge w:val="continue"/>
            <w:tcBorders>
              <w:tl2br w:val="nil"/>
              <w:tr2bl w:val="nil"/>
            </w:tcBorders>
            <w:noWrap w:val="0"/>
            <w:vAlign w:val="center"/>
          </w:tcPr>
          <w:p w14:paraId="589B44E5">
            <w:pPr>
              <w:pStyle w:val="311"/>
              <w:adjustRightInd w:val="0"/>
              <w:snapToGrid w:val="0"/>
              <w:spacing w:line="240" w:lineRule="auto"/>
              <w:jc w:val="center"/>
              <w:rPr>
                <w:rFonts w:hint="eastAsia" w:ascii="宋体" w:hAnsi="宋体" w:eastAsia="宋体" w:cs="宋体"/>
                <w:b w:val="0"/>
                <w:bCs w:val="0"/>
                <w:color w:val="auto"/>
                <w:sz w:val="24"/>
                <w:szCs w:val="24"/>
              </w:rPr>
            </w:pPr>
          </w:p>
        </w:tc>
        <w:tc>
          <w:tcPr>
            <w:tcW w:w="1381" w:type="dxa"/>
            <w:tcBorders>
              <w:tl2br w:val="nil"/>
              <w:tr2bl w:val="nil"/>
            </w:tcBorders>
            <w:noWrap w:val="0"/>
            <w:vAlign w:val="center"/>
          </w:tcPr>
          <w:p w14:paraId="6CAB204E">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竣工结算</w:t>
            </w:r>
          </w:p>
        </w:tc>
        <w:tc>
          <w:tcPr>
            <w:tcW w:w="1466" w:type="dxa"/>
            <w:tcBorders>
              <w:tl2br w:val="nil"/>
              <w:tr2bl w:val="nil"/>
            </w:tcBorders>
            <w:noWrap w:val="0"/>
            <w:vAlign w:val="center"/>
          </w:tcPr>
          <w:p w14:paraId="2CFCA1CF">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sym w:font="Wingdings 2" w:char="0052"/>
            </w:r>
            <w:r>
              <w:rPr>
                <w:rFonts w:hint="eastAsia" w:ascii="宋体" w:hAnsi="宋体" w:eastAsia="宋体" w:cs="宋体"/>
                <w:b w:val="0"/>
                <w:bCs w:val="0"/>
                <w:color w:val="auto"/>
                <w:sz w:val="24"/>
                <w:szCs w:val="24"/>
              </w:rPr>
              <w:t>审核</w:t>
            </w:r>
          </w:p>
        </w:tc>
        <w:tc>
          <w:tcPr>
            <w:tcW w:w="699" w:type="dxa"/>
            <w:vMerge w:val="restart"/>
            <w:tcBorders>
              <w:tl2br w:val="nil"/>
              <w:tr2bl w:val="nil"/>
            </w:tcBorders>
            <w:noWrap w:val="0"/>
            <w:vAlign w:val="center"/>
          </w:tcPr>
          <w:p w14:paraId="21A6AC36">
            <w:pPr>
              <w:adjustRightInd w:val="0"/>
              <w:snapToGrid w:val="0"/>
              <w:spacing w:line="240" w:lineRule="auto"/>
              <w:jc w:val="center"/>
              <w:rPr>
                <w:rFonts w:hint="eastAsia" w:ascii="宋体" w:hAnsi="宋体" w:eastAsia="宋体" w:cs="宋体"/>
                <w:b w:val="0"/>
                <w:bCs w:val="0"/>
                <w:color w:val="auto"/>
                <w:sz w:val="24"/>
                <w:szCs w:val="24"/>
                <w:lang w:val="en-US" w:eastAsia="zh-CN" w:bidi="ar-SA"/>
              </w:rPr>
            </w:pPr>
            <w:r>
              <w:rPr>
                <w:rFonts w:hint="eastAsia" w:ascii="宋体" w:hAnsi="宋体" w:eastAsia="宋体" w:cs="宋体"/>
                <w:b w:val="0"/>
                <w:bCs w:val="0"/>
                <w:color w:val="auto"/>
                <w:sz w:val="24"/>
                <w:szCs w:val="24"/>
                <w:lang w:val="en-US" w:eastAsia="zh-CN" w:bidi="ar-SA"/>
              </w:rPr>
              <w:t>审定价</w:t>
            </w:r>
          </w:p>
        </w:tc>
        <w:tc>
          <w:tcPr>
            <w:tcW w:w="1210" w:type="dxa"/>
            <w:vMerge w:val="restart"/>
            <w:tcBorders>
              <w:tl2br w:val="nil"/>
              <w:tr2bl w:val="nil"/>
            </w:tcBorders>
            <w:noWrap w:val="0"/>
            <w:vAlign w:val="center"/>
          </w:tcPr>
          <w:p w14:paraId="6C9F350B">
            <w:pPr>
              <w:adjustRightInd w:val="0"/>
              <w:snapToGrid w:val="0"/>
              <w:spacing w:line="240" w:lineRule="auto"/>
              <w:jc w:val="center"/>
              <w:rPr>
                <w:rFonts w:hint="eastAsia" w:ascii="宋体" w:hAnsi="宋体" w:eastAsia="宋体" w:cs="宋体"/>
                <w:b w:val="0"/>
                <w:bCs w:val="0"/>
                <w:color w:val="auto"/>
                <w:sz w:val="24"/>
                <w:szCs w:val="24"/>
                <w:lang w:val="en-US" w:eastAsia="zh-CN" w:bidi="ar-SA"/>
              </w:rPr>
            </w:pPr>
            <w:r>
              <w:rPr>
                <w:rFonts w:hint="eastAsia" w:ascii="宋体" w:hAnsi="宋体" w:eastAsia="宋体" w:cs="宋体"/>
                <w:b w:val="0"/>
                <w:bCs w:val="0"/>
                <w:color w:val="auto"/>
                <w:sz w:val="24"/>
                <w:szCs w:val="24"/>
                <w:lang w:val="en-US" w:eastAsia="zh-CN" w:bidi="ar-SA"/>
              </w:rPr>
              <w:t>中标费率</w:t>
            </w:r>
          </w:p>
          <w:p w14:paraId="2DF82A70">
            <w:pPr>
              <w:adjustRightInd w:val="0"/>
              <w:snapToGrid w:val="0"/>
              <w:spacing w:line="240" w:lineRule="auto"/>
              <w:jc w:val="center"/>
              <w:rPr>
                <w:rFonts w:hint="eastAsia" w:ascii="宋体" w:hAnsi="宋体" w:eastAsia="宋体" w:cs="宋体"/>
                <w:b w:val="0"/>
                <w:bCs w:val="0"/>
                <w:color w:val="auto"/>
                <w:sz w:val="24"/>
                <w:szCs w:val="24"/>
                <w:u w:val="single"/>
                <w:lang w:val="en-US" w:eastAsia="zh-CN" w:bidi="ar-SA"/>
              </w:rPr>
            </w:pPr>
            <w:r>
              <w:rPr>
                <w:rFonts w:hint="eastAsia" w:ascii="宋体" w:hAnsi="宋体" w:eastAsia="宋体" w:cs="宋体"/>
                <w:b w:val="0"/>
                <w:bCs w:val="0"/>
                <w:color w:val="auto"/>
                <w:sz w:val="24"/>
                <w:szCs w:val="24"/>
                <w:u w:val="single"/>
                <w:lang w:val="en-US" w:eastAsia="zh-CN" w:bidi="ar-SA"/>
              </w:rPr>
              <w:t xml:space="preserve">     ‰</w:t>
            </w:r>
          </w:p>
        </w:tc>
        <w:tc>
          <w:tcPr>
            <w:tcW w:w="2045" w:type="dxa"/>
            <w:vMerge w:val="restart"/>
            <w:tcBorders>
              <w:tl2br w:val="nil"/>
              <w:tr2bl w:val="nil"/>
            </w:tcBorders>
            <w:noWrap w:val="0"/>
            <w:vAlign w:val="center"/>
          </w:tcPr>
          <w:p w14:paraId="4381CA2D">
            <w:pPr>
              <w:adjustRightInd w:val="0"/>
              <w:snapToGrid w:val="0"/>
              <w:spacing w:line="240" w:lineRule="auto"/>
              <w:jc w:val="center"/>
              <w:rPr>
                <w:rFonts w:hint="eastAsia" w:ascii="宋体" w:hAnsi="宋体" w:eastAsia="宋体" w:cs="宋体"/>
                <w:b w:val="0"/>
                <w:bCs w:val="0"/>
                <w:color w:val="auto"/>
                <w:sz w:val="24"/>
                <w:szCs w:val="24"/>
                <w:lang w:val="en-US" w:eastAsia="zh-CN" w:bidi="ar-SA"/>
              </w:rPr>
            </w:pPr>
          </w:p>
        </w:tc>
        <w:tc>
          <w:tcPr>
            <w:tcW w:w="916" w:type="dxa"/>
            <w:tcBorders>
              <w:tl2br w:val="nil"/>
              <w:tr2bl w:val="nil"/>
            </w:tcBorders>
            <w:noWrap w:val="0"/>
            <w:vAlign w:val="center"/>
          </w:tcPr>
          <w:p w14:paraId="5F4FDE58">
            <w:pPr>
              <w:adjustRightInd w:val="0"/>
              <w:snapToGrid w:val="0"/>
              <w:spacing w:line="240" w:lineRule="auto"/>
              <w:jc w:val="center"/>
              <w:rPr>
                <w:rFonts w:hint="eastAsia" w:ascii="宋体" w:hAnsi="宋体" w:eastAsia="宋体" w:cs="宋体"/>
                <w:b w:val="0"/>
                <w:bCs w:val="0"/>
                <w:color w:val="auto"/>
                <w:sz w:val="24"/>
                <w:szCs w:val="24"/>
                <w:lang w:val="en-US" w:eastAsia="zh-CN" w:bidi="ar-SA"/>
              </w:rPr>
            </w:pPr>
          </w:p>
        </w:tc>
      </w:tr>
      <w:tr w14:paraId="1059A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jc w:val="center"/>
        </w:trPr>
        <w:tc>
          <w:tcPr>
            <w:tcW w:w="1245" w:type="dxa"/>
            <w:gridSpan w:val="2"/>
            <w:vMerge w:val="continue"/>
            <w:tcBorders>
              <w:tl2br w:val="nil"/>
              <w:tr2bl w:val="nil"/>
            </w:tcBorders>
            <w:noWrap w:val="0"/>
            <w:vAlign w:val="center"/>
          </w:tcPr>
          <w:p w14:paraId="1529ABA4">
            <w:pPr>
              <w:adjustRightInd w:val="0"/>
              <w:snapToGrid w:val="0"/>
              <w:spacing w:line="240" w:lineRule="auto"/>
              <w:jc w:val="center"/>
              <w:rPr>
                <w:rFonts w:hint="eastAsia" w:ascii="宋体" w:hAnsi="宋体" w:eastAsia="宋体" w:cs="宋体"/>
                <w:b w:val="0"/>
                <w:bCs w:val="0"/>
                <w:color w:val="auto"/>
                <w:sz w:val="24"/>
                <w:szCs w:val="24"/>
              </w:rPr>
            </w:pPr>
          </w:p>
        </w:tc>
        <w:tc>
          <w:tcPr>
            <w:tcW w:w="1381" w:type="dxa"/>
            <w:tcBorders>
              <w:tl2br w:val="nil"/>
              <w:tr2bl w:val="nil"/>
            </w:tcBorders>
            <w:noWrap w:val="0"/>
            <w:vAlign w:val="center"/>
          </w:tcPr>
          <w:p w14:paraId="78CB8D18">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竣工决算</w:t>
            </w:r>
          </w:p>
        </w:tc>
        <w:tc>
          <w:tcPr>
            <w:tcW w:w="1466" w:type="dxa"/>
            <w:tcBorders>
              <w:tl2br w:val="nil"/>
              <w:tr2bl w:val="nil"/>
            </w:tcBorders>
            <w:noWrap w:val="0"/>
            <w:vAlign w:val="center"/>
          </w:tcPr>
          <w:p w14:paraId="0D59A235">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sym w:font="Wingdings 2" w:char="0052"/>
            </w:r>
            <w:r>
              <w:rPr>
                <w:rFonts w:hint="eastAsia" w:ascii="宋体" w:hAnsi="宋体" w:eastAsia="宋体" w:cs="宋体"/>
                <w:b w:val="0"/>
                <w:bCs w:val="0"/>
                <w:color w:val="auto"/>
                <w:sz w:val="24"/>
                <w:szCs w:val="24"/>
              </w:rPr>
              <w:t>编制</w:t>
            </w:r>
          </w:p>
        </w:tc>
        <w:tc>
          <w:tcPr>
            <w:tcW w:w="699" w:type="dxa"/>
            <w:vMerge w:val="continue"/>
            <w:tcBorders>
              <w:tl2br w:val="nil"/>
              <w:tr2bl w:val="nil"/>
            </w:tcBorders>
            <w:noWrap w:val="0"/>
            <w:vAlign w:val="center"/>
          </w:tcPr>
          <w:p w14:paraId="32F731C3">
            <w:pPr>
              <w:adjustRightInd w:val="0"/>
              <w:snapToGrid w:val="0"/>
              <w:spacing w:line="240" w:lineRule="auto"/>
              <w:jc w:val="center"/>
              <w:rPr>
                <w:rFonts w:hint="eastAsia" w:ascii="宋体" w:hAnsi="宋体" w:eastAsia="宋体" w:cs="宋体"/>
                <w:b w:val="0"/>
                <w:bCs w:val="0"/>
                <w:color w:val="auto"/>
                <w:sz w:val="24"/>
                <w:szCs w:val="24"/>
                <w:lang w:eastAsia="zh-CN"/>
              </w:rPr>
            </w:pPr>
          </w:p>
        </w:tc>
        <w:tc>
          <w:tcPr>
            <w:tcW w:w="1210" w:type="dxa"/>
            <w:vMerge w:val="continue"/>
            <w:tcBorders>
              <w:tl2br w:val="nil"/>
              <w:tr2bl w:val="nil"/>
            </w:tcBorders>
            <w:noWrap w:val="0"/>
            <w:vAlign w:val="center"/>
          </w:tcPr>
          <w:p w14:paraId="6735CD88">
            <w:pPr>
              <w:adjustRightInd w:val="0"/>
              <w:snapToGrid w:val="0"/>
              <w:spacing w:line="240" w:lineRule="auto"/>
              <w:jc w:val="center"/>
              <w:rPr>
                <w:rFonts w:hint="eastAsia" w:ascii="宋体" w:hAnsi="宋体" w:eastAsia="宋体" w:cs="宋体"/>
                <w:b w:val="0"/>
                <w:bCs w:val="0"/>
                <w:color w:val="auto"/>
                <w:sz w:val="24"/>
                <w:szCs w:val="24"/>
                <w:lang w:eastAsia="zh-CN"/>
              </w:rPr>
            </w:pPr>
          </w:p>
        </w:tc>
        <w:tc>
          <w:tcPr>
            <w:tcW w:w="2045" w:type="dxa"/>
            <w:vMerge w:val="continue"/>
            <w:tcBorders>
              <w:tl2br w:val="nil"/>
              <w:tr2bl w:val="nil"/>
            </w:tcBorders>
            <w:noWrap w:val="0"/>
            <w:vAlign w:val="center"/>
          </w:tcPr>
          <w:p w14:paraId="3476B324">
            <w:pPr>
              <w:adjustRightInd w:val="0"/>
              <w:snapToGrid w:val="0"/>
              <w:spacing w:line="240" w:lineRule="auto"/>
              <w:jc w:val="center"/>
              <w:rPr>
                <w:rFonts w:hint="eastAsia" w:ascii="宋体" w:hAnsi="宋体" w:eastAsia="宋体" w:cs="宋体"/>
                <w:b w:val="0"/>
                <w:bCs w:val="0"/>
                <w:color w:val="auto"/>
                <w:sz w:val="24"/>
                <w:szCs w:val="24"/>
                <w:lang w:eastAsia="zh-CN"/>
              </w:rPr>
            </w:pPr>
          </w:p>
        </w:tc>
        <w:tc>
          <w:tcPr>
            <w:tcW w:w="916" w:type="dxa"/>
            <w:tcBorders>
              <w:tl2br w:val="nil"/>
              <w:tr2bl w:val="nil"/>
            </w:tcBorders>
            <w:noWrap w:val="0"/>
            <w:vAlign w:val="center"/>
          </w:tcPr>
          <w:p w14:paraId="53B89869">
            <w:pPr>
              <w:adjustRightInd w:val="0"/>
              <w:snapToGrid w:val="0"/>
              <w:spacing w:line="240" w:lineRule="auto"/>
              <w:jc w:val="center"/>
              <w:rPr>
                <w:rFonts w:hint="eastAsia" w:ascii="宋体" w:hAnsi="宋体" w:eastAsia="宋体" w:cs="宋体"/>
                <w:b w:val="0"/>
                <w:bCs w:val="0"/>
                <w:color w:val="auto"/>
                <w:sz w:val="24"/>
                <w:szCs w:val="24"/>
              </w:rPr>
            </w:pPr>
          </w:p>
        </w:tc>
      </w:tr>
    </w:tbl>
    <w:p w14:paraId="7A5BE37B">
      <w:pPr>
        <w:rPr>
          <w:rFonts w:hint="eastAsia" w:ascii="宋体" w:hAnsi="宋体" w:eastAsia="宋体" w:cs="宋体"/>
          <w:color w:val="auto"/>
        </w:rPr>
      </w:pPr>
    </w:p>
    <w:p w14:paraId="663F88A1">
      <w:pPr>
        <w:rPr>
          <w:rFonts w:hint="eastAsia" w:ascii="宋体" w:hAnsi="宋体" w:eastAsia="宋体" w:cs="宋体"/>
          <w:color w:val="auto"/>
        </w:rPr>
      </w:pPr>
    </w:p>
    <w:p w14:paraId="1B3B9C25">
      <w:pPr>
        <w:pStyle w:val="2"/>
        <w:rPr>
          <w:rFonts w:hint="eastAsia" w:ascii="宋体" w:hAnsi="宋体" w:eastAsia="宋体" w:cs="宋体"/>
        </w:rPr>
      </w:pPr>
    </w:p>
    <w:p w14:paraId="1A277F9E">
      <w:pPr>
        <w:pStyle w:val="5"/>
        <w:adjustRightInd w:val="0"/>
        <w:snapToGrid w:val="0"/>
        <w:spacing w:line="240" w:lineRule="auto"/>
        <w:ind w:left="12"/>
        <w:jc w:val="center"/>
        <w:rPr>
          <w:rFonts w:hint="eastAsia" w:ascii="宋体" w:hAnsi="宋体" w:eastAsia="宋体" w:cs="宋体"/>
          <w:b/>
          <w:bCs/>
          <w:color w:val="auto"/>
          <w:sz w:val="30"/>
          <w:szCs w:val="30"/>
        </w:rPr>
      </w:pPr>
      <w:bookmarkStart w:id="415" w:name="_Toc2801"/>
      <w:bookmarkStart w:id="416" w:name="_Toc26972"/>
      <w:bookmarkStart w:id="417" w:name="_Toc6414"/>
      <w:r>
        <w:rPr>
          <w:rFonts w:hint="eastAsia" w:ascii="宋体" w:hAnsi="宋体" w:eastAsia="宋体" w:cs="宋体"/>
          <w:b/>
          <w:bCs/>
          <w:color w:val="auto"/>
          <w:sz w:val="30"/>
          <w:szCs w:val="30"/>
        </w:rPr>
        <w:t>附录 B</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rPr>
        <w:t>咨询人提交成果文件一览表</w:t>
      </w:r>
      <w:bookmarkEnd w:id="415"/>
      <w:bookmarkEnd w:id="416"/>
      <w:bookmarkEnd w:id="417"/>
    </w:p>
    <w:tbl>
      <w:tblPr>
        <w:tblStyle w:val="51"/>
        <w:tblW w:w="9229" w:type="dxa"/>
        <w:jc w:val="center"/>
        <w:tblLayout w:type="fixed"/>
        <w:tblCellMar>
          <w:top w:w="0" w:type="dxa"/>
          <w:left w:w="0" w:type="dxa"/>
          <w:bottom w:w="0" w:type="dxa"/>
          <w:right w:w="0" w:type="dxa"/>
        </w:tblCellMar>
      </w:tblPr>
      <w:tblGrid>
        <w:gridCol w:w="1423"/>
        <w:gridCol w:w="1832"/>
        <w:gridCol w:w="1705"/>
        <w:gridCol w:w="2436"/>
        <w:gridCol w:w="717"/>
        <w:gridCol w:w="1116"/>
      </w:tblGrid>
      <w:tr w14:paraId="724B7607">
        <w:tblPrEx>
          <w:tblCellMar>
            <w:top w:w="0" w:type="dxa"/>
            <w:left w:w="0" w:type="dxa"/>
            <w:bottom w:w="0" w:type="dxa"/>
            <w:right w:w="0" w:type="dxa"/>
          </w:tblCellMar>
        </w:tblPrEx>
        <w:trPr>
          <w:trHeight w:val="850" w:hRule="atLeast"/>
          <w:jc w:val="center"/>
        </w:trPr>
        <w:tc>
          <w:tcPr>
            <w:tcW w:w="1423" w:type="dxa"/>
            <w:tcBorders>
              <w:top w:val="single" w:color="000000" w:sz="4" w:space="0"/>
              <w:left w:val="single" w:color="000000" w:sz="4" w:space="0"/>
              <w:bottom w:val="single" w:color="000000" w:sz="4" w:space="0"/>
              <w:right w:val="single" w:color="000000" w:sz="4" w:space="0"/>
            </w:tcBorders>
            <w:noWrap w:val="0"/>
            <w:vAlign w:val="center"/>
          </w:tcPr>
          <w:p w14:paraId="12912CF7">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服务阶段</w:t>
            </w:r>
          </w:p>
        </w:tc>
        <w:tc>
          <w:tcPr>
            <w:tcW w:w="1832" w:type="dxa"/>
            <w:tcBorders>
              <w:top w:val="single" w:color="000000" w:sz="4" w:space="0"/>
              <w:left w:val="single" w:color="000000" w:sz="4" w:space="0"/>
              <w:bottom w:val="single" w:color="000000" w:sz="4" w:space="0"/>
              <w:right w:val="single" w:color="000000" w:sz="4" w:space="0"/>
            </w:tcBorders>
            <w:noWrap w:val="0"/>
            <w:vAlign w:val="center"/>
          </w:tcPr>
          <w:p w14:paraId="087E3C9B">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成果文件名称</w:t>
            </w:r>
          </w:p>
        </w:tc>
        <w:tc>
          <w:tcPr>
            <w:tcW w:w="1705" w:type="dxa"/>
            <w:tcBorders>
              <w:top w:val="single" w:color="000000" w:sz="4" w:space="0"/>
              <w:left w:val="single" w:color="000000" w:sz="4" w:space="0"/>
              <w:bottom w:val="single" w:color="000000" w:sz="4" w:space="0"/>
              <w:right w:val="single" w:color="000000" w:sz="4" w:space="0"/>
            </w:tcBorders>
            <w:noWrap w:val="0"/>
            <w:vAlign w:val="center"/>
          </w:tcPr>
          <w:p w14:paraId="2D8C9264">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成果文件组成</w:t>
            </w:r>
          </w:p>
        </w:tc>
        <w:tc>
          <w:tcPr>
            <w:tcW w:w="2436" w:type="dxa"/>
            <w:tcBorders>
              <w:top w:val="single" w:color="000000" w:sz="4" w:space="0"/>
              <w:left w:val="single" w:color="000000" w:sz="4" w:space="0"/>
              <w:bottom w:val="single" w:color="000000" w:sz="4" w:space="0"/>
              <w:right w:val="single" w:color="000000" w:sz="4" w:space="0"/>
            </w:tcBorders>
            <w:noWrap w:val="0"/>
            <w:vAlign w:val="center"/>
          </w:tcPr>
          <w:p w14:paraId="3511D159">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提交时间</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14:paraId="6203CF61">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份数</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F98D0C6">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质量标准</w:t>
            </w:r>
          </w:p>
        </w:tc>
      </w:tr>
      <w:tr w14:paraId="4A0CA544">
        <w:tblPrEx>
          <w:tblCellMar>
            <w:top w:w="0" w:type="dxa"/>
            <w:left w:w="0" w:type="dxa"/>
            <w:bottom w:w="0" w:type="dxa"/>
            <w:right w:w="0" w:type="dxa"/>
          </w:tblCellMar>
        </w:tblPrEx>
        <w:trPr>
          <w:trHeight w:val="850" w:hRule="atLeast"/>
          <w:jc w:val="center"/>
        </w:trPr>
        <w:tc>
          <w:tcPr>
            <w:tcW w:w="1423" w:type="dxa"/>
            <w:tcBorders>
              <w:top w:val="single" w:color="000000" w:sz="4" w:space="0"/>
              <w:left w:val="single" w:color="000000" w:sz="4" w:space="0"/>
              <w:right w:val="single" w:color="000000" w:sz="4" w:space="0"/>
            </w:tcBorders>
            <w:noWrap w:val="0"/>
            <w:vAlign w:val="center"/>
          </w:tcPr>
          <w:p w14:paraId="596CCBE2">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实施阶段</w:t>
            </w:r>
          </w:p>
        </w:tc>
        <w:tc>
          <w:tcPr>
            <w:tcW w:w="1832" w:type="dxa"/>
            <w:tcBorders>
              <w:top w:val="single" w:color="000000" w:sz="4" w:space="0"/>
              <w:left w:val="single" w:color="000000" w:sz="4" w:space="0"/>
              <w:bottom w:val="single" w:color="000000" w:sz="4" w:space="0"/>
              <w:right w:val="single" w:color="000000" w:sz="4" w:space="0"/>
            </w:tcBorders>
            <w:noWrap w:val="0"/>
            <w:vAlign w:val="center"/>
          </w:tcPr>
          <w:p w14:paraId="0D8D6052">
            <w:pPr>
              <w:adjustRightInd w:val="0"/>
              <w:snapToGrid w:val="0"/>
              <w:spacing w:line="240" w:lineRule="auto"/>
              <w:jc w:val="center"/>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阶段性验收报告</w:t>
            </w:r>
          </w:p>
        </w:tc>
        <w:tc>
          <w:tcPr>
            <w:tcW w:w="1705" w:type="dxa"/>
            <w:tcBorders>
              <w:top w:val="single" w:color="000000" w:sz="4" w:space="0"/>
              <w:left w:val="single" w:color="000000" w:sz="4" w:space="0"/>
              <w:bottom w:val="single" w:color="000000" w:sz="4" w:space="0"/>
              <w:right w:val="single" w:color="000000" w:sz="4" w:space="0"/>
            </w:tcBorders>
            <w:noWrap w:val="0"/>
            <w:vAlign w:val="center"/>
          </w:tcPr>
          <w:p w14:paraId="3E6C0094">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根据要求</w:t>
            </w:r>
          </w:p>
        </w:tc>
        <w:tc>
          <w:tcPr>
            <w:tcW w:w="2436" w:type="dxa"/>
            <w:tcBorders>
              <w:top w:val="single" w:color="000000" w:sz="4" w:space="0"/>
              <w:left w:val="single" w:color="000000" w:sz="4" w:space="0"/>
              <w:bottom w:val="single" w:color="000000" w:sz="4" w:space="0"/>
              <w:right w:val="single" w:color="000000" w:sz="4" w:space="0"/>
            </w:tcBorders>
            <w:noWrap w:val="0"/>
            <w:vAlign w:val="center"/>
          </w:tcPr>
          <w:p w14:paraId="4043203E">
            <w:pPr>
              <w:adjustRightInd w:val="0"/>
              <w:snapToGrid w:val="0"/>
              <w:spacing w:line="24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eastAsia="zh-CN"/>
              </w:rPr>
              <w:t>现场验收完成，资料备齐后</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日</w:t>
            </w:r>
            <w:r>
              <w:rPr>
                <w:rFonts w:hint="eastAsia" w:ascii="宋体" w:hAnsi="宋体" w:eastAsia="宋体" w:cs="宋体"/>
                <w:b w:val="0"/>
                <w:bCs w:val="0"/>
                <w:color w:val="auto"/>
                <w:sz w:val="24"/>
                <w:szCs w:val="24"/>
                <w:lang w:val="en-US" w:eastAsia="zh-CN"/>
              </w:rPr>
              <w:t>内。</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14:paraId="7F0A1DEB">
            <w:pPr>
              <w:adjustRightInd w:val="0"/>
              <w:snapToGrid w:val="0"/>
              <w:spacing w:line="240" w:lineRule="auto"/>
              <w:jc w:val="center"/>
              <w:rPr>
                <w:rFonts w:hint="eastAsia" w:ascii="宋体" w:hAnsi="宋体" w:eastAsia="宋体" w:cs="宋体"/>
                <w:b w:val="0"/>
                <w:bCs w:val="0"/>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4EBDCDAF">
            <w:pPr>
              <w:adjustRightInd w:val="0"/>
              <w:snapToGrid w:val="0"/>
              <w:spacing w:line="240" w:lineRule="auto"/>
              <w:jc w:val="center"/>
              <w:rPr>
                <w:rFonts w:hint="eastAsia" w:ascii="宋体" w:hAnsi="宋体" w:eastAsia="宋体" w:cs="宋体"/>
                <w:b w:val="0"/>
                <w:bCs w:val="0"/>
                <w:color w:val="auto"/>
                <w:sz w:val="24"/>
                <w:szCs w:val="24"/>
              </w:rPr>
            </w:pPr>
          </w:p>
        </w:tc>
      </w:tr>
      <w:tr w14:paraId="2A63B691">
        <w:tblPrEx>
          <w:tblCellMar>
            <w:top w:w="0" w:type="dxa"/>
            <w:left w:w="0" w:type="dxa"/>
            <w:bottom w:w="0" w:type="dxa"/>
            <w:right w:w="0" w:type="dxa"/>
          </w:tblCellMar>
        </w:tblPrEx>
        <w:trPr>
          <w:trHeight w:val="850" w:hRule="atLeast"/>
          <w:jc w:val="center"/>
        </w:trPr>
        <w:tc>
          <w:tcPr>
            <w:tcW w:w="1423" w:type="dxa"/>
            <w:vMerge w:val="restart"/>
            <w:tcBorders>
              <w:top w:val="single" w:color="000000" w:sz="4" w:space="0"/>
              <w:left w:val="single" w:color="000000" w:sz="4" w:space="0"/>
              <w:right w:val="single" w:color="000000" w:sz="4" w:space="0"/>
            </w:tcBorders>
            <w:noWrap w:val="0"/>
            <w:vAlign w:val="center"/>
          </w:tcPr>
          <w:p w14:paraId="3C381F14">
            <w:pPr>
              <w:pStyle w:val="311"/>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竣工阶段</w:t>
            </w:r>
          </w:p>
        </w:tc>
        <w:tc>
          <w:tcPr>
            <w:tcW w:w="1832" w:type="dxa"/>
            <w:tcBorders>
              <w:top w:val="single" w:color="000000" w:sz="4" w:space="0"/>
              <w:left w:val="single" w:color="000000" w:sz="4" w:space="0"/>
              <w:bottom w:val="single" w:color="000000" w:sz="4" w:space="0"/>
              <w:right w:val="single" w:color="000000" w:sz="4" w:space="0"/>
            </w:tcBorders>
            <w:noWrap w:val="0"/>
            <w:vAlign w:val="center"/>
          </w:tcPr>
          <w:p w14:paraId="1B7F5C7D">
            <w:pPr>
              <w:adjustRightInd w:val="0"/>
              <w:snapToGrid w:val="0"/>
              <w:spacing w:line="240" w:lineRule="auto"/>
              <w:jc w:val="center"/>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结算审核报告</w:t>
            </w:r>
          </w:p>
        </w:tc>
        <w:tc>
          <w:tcPr>
            <w:tcW w:w="1705" w:type="dxa"/>
            <w:tcBorders>
              <w:top w:val="single" w:color="000000" w:sz="4" w:space="0"/>
              <w:left w:val="single" w:color="000000" w:sz="4" w:space="0"/>
              <w:bottom w:val="single" w:color="000000" w:sz="4" w:space="0"/>
              <w:right w:val="single" w:color="000000" w:sz="4" w:space="0"/>
            </w:tcBorders>
            <w:noWrap w:val="0"/>
            <w:vAlign w:val="center"/>
          </w:tcPr>
          <w:p w14:paraId="12BE6C6E">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根据要求</w:t>
            </w:r>
          </w:p>
        </w:tc>
        <w:tc>
          <w:tcPr>
            <w:tcW w:w="2436" w:type="dxa"/>
            <w:tcBorders>
              <w:top w:val="single" w:color="000000" w:sz="4" w:space="0"/>
              <w:left w:val="single" w:color="000000" w:sz="4" w:space="0"/>
              <w:bottom w:val="single" w:color="000000" w:sz="4" w:space="0"/>
              <w:right w:val="single" w:color="000000" w:sz="4" w:space="0"/>
            </w:tcBorders>
            <w:noWrap w:val="0"/>
            <w:vAlign w:val="center"/>
          </w:tcPr>
          <w:p w14:paraId="20DEA254">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资料备齐后</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日内</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14:paraId="2C2CFF8B">
            <w:pPr>
              <w:adjustRightInd w:val="0"/>
              <w:snapToGrid w:val="0"/>
              <w:spacing w:line="240" w:lineRule="auto"/>
              <w:jc w:val="center"/>
              <w:rPr>
                <w:rFonts w:hint="eastAsia" w:ascii="宋体" w:hAnsi="宋体" w:eastAsia="宋体" w:cs="宋体"/>
                <w:b w:val="0"/>
                <w:bCs w:val="0"/>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61B54A79">
            <w:pPr>
              <w:adjustRightInd w:val="0"/>
              <w:snapToGrid w:val="0"/>
              <w:spacing w:line="240" w:lineRule="auto"/>
              <w:jc w:val="center"/>
              <w:rPr>
                <w:rFonts w:hint="eastAsia" w:ascii="宋体" w:hAnsi="宋体" w:eastAsia="宋体" w:cs="宋体"/>
                <w:b w:val="0"/>
                <w:bCs w:val="0"/>
                <w:color w:val="auto"/>
                <w:sz w:val="24"/>
                <w:szCs w:val="24"/>
              </w:rPr>
            </w:pPr>
          </w:p>
        </w:tc>
      </w:tr>
      <w:tr w14:paraId="0DCBF845">
        <w:tblPrEx>
          <w:tblCellMar>
            <w:top w:w="0" w:type="dxa"/>
            <w:left w:w="0" w:type="dxa"/>
            <w:bottom w:w="0" w:type="dxa"/>
            <w:right w:w="0" w:type="dxa"/>
          </w:tblCellMar>
        </w:tblPrEx>
        <w:trPr>
          <w:trHeight w:val="850" w:hRule="atLeast"/>
          <w:jc w:val="center"/>
        </w:trPr>
        <w:tc>
          <w:tcPr>
            <w:tcW w:w="1423" w:type="dxa"/>
            <w:vMerge w:val="continue"/>
            <w:tcBorders>
              <w:left w:val="single" w:color="000000" w:sz="4" w:space="0"/>
              <w:right w:val="single" w:color="000000" w:sz="4" w:space="0"/>
            </w:tcBorders>
            <w:noWrap w:val="0"/>
            <w:vAlign w:val="center"/>
          </w:tcPr>
          <w:p w14:paraId="623EFB31">
            <w:pPr>
              <w:adjustRightInd w:val="0"/>
              <w:snapToGrid w:val="0"/>
              <w:spacing w:line="240" w:lineRule="auto"/>
              <w:jc w:val="center"/>
              <w:rPr>
                <w:rFonts w:hint="eastAsia" w:ascii="宋体" w:hAnsi="宋体" w:eastAsia="宋体" w:cs="宋体"/>
                <w:b w:val="0"/>
                <w:bCs w:val="0"/>
                <w:color w:val="auto"/>
                <w:sz w:val="24"/>
                <w:szCs w:val="24"/>
              </w:rPr>
            </w:pPr>
          </w:p>
        </w:tc>
        <w:tc>
          <w:tcPr>
            <w:tcW w:w="1832" w:type="dxa"/>
            <w:tcBorders>
              <w:top w:val="single" w:color="000000" w:sz="4" w:space="0"/>
              <w:left w:val="single" w:color="000000" w:sz="4" w:space="0"/>
              <w:bottom w:val="single" w:color="000000" w:sz="4" w:space="0"/>
              <w:right w:val="single" w:color="000000" w:sz="4" w:space="0"/>
            </w:tcBorders>
            <w:noWrap w:val="0"/>
            <w:vAlign w:val="center"/>
          </w:tcPr>
          <w:p w14:paraId="6BC6D8E5">
            <w:pPr>
              <w:adjustRightInd w:val="0"/>
              <w:snapToGrid w:val="0"/>
              <w:spacing w:line="240" w:lineRule="auto"/>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eastAsia="zh-CN"/>
              </w:rPr>
              <w:t>竣工决算报告</w:t>
            </w:r>
          </w:p>
        </w:tc>
        <w:tc>
          <w:tcPr>
            <w:tcW w:w="1705" w:type="dxa"/>
            <w:tcBorders>
              <w:top w:val="single" w:color="000000" w:sz="4" w:space="0"/>
              <w:left w:val="single" w:color="000000" w:sz="4" w:space="0"/>
              <w:bottom w:val="single" w:color="000000" w:sz="4" w:space="0"/>
              <w:right w:val="single" w:color="000000" w:sz="4" w:space="0"/>
            </w:tcBorders>
            <w:noWrap w:val="0"/>
            <w:vAlign w:val="center"/>
          </w:tcPr>
          <w:p w14:paraId="0E738986">
            <w:pPr>
              <w:adjustRightInd w:val="0"/>
              <w:snapToGrid w:val="0"/>
              <w:spacing w:line="240" w:lineRule="auto"/>
              <w:jc w:val="center"/>
              <w:rPr>
                <w:rFonts w:hint="eastAsia" w:ascii="宋体" w:hAnsi="宋体" w:eastAsia="宋体" w:cs="宋体"/>
                <w:b w:val="0"/>
                <w:bCs w:val="0"/>
                <w:color w:val="auto"/>
                <w:sz w:val="24"/>
                <w:szCs w:val="24"/>
                <w:lang w:val="en-US" w:eastAsia="zh-CN" w:bidi="ar-SA"/>
              </w:rPr>
            </w:pPr>
            <w:r>
              <w:rPr>
                <w:rFonts w:hint="eastAsia" w:ascii="宋体" w:hAnsi="宋体" w:eastAsia="宋体" w:cs="宋体"/>
                <w:b w:val="0"/>
                <w:bCs w:val="0"/>
                <w:color w:val="auto"/>
                <w:sz w:val="24"/>
                <w:szCs w:val="24"/>
                <w:lang w:eastAsia="zh-CN"/>
              </w:rPr>
              <w:t>根据要求</w:t>
            </w:r>
          </w:p>
        </w:tc>
        <w:tc>
          <w:tcPr>
            <w:tcW w:w="2436" w:type="dxa"/>
            <w:tcBorders>
              <w:top w:val="single" w:color="000000" w:sz="4" w:space="0"/>
              <w:left w:val="single" w:color="000000" w:sz="4" w:space="0"/>
              <w:bottom w:val="single" w:color="000000" w:sz="4" w:space="0"/>
              <w:right w:val="single" w:color="000000" w:sz="4" w:space="0"/>
            </w:tcBorders>
            <w:noWrap w:val="0"/>
            <w:vAlign w:val="center"/>
          </w:tcPr>
          <w:p w14:paraId="00F34B2A">
            <w:pPr>
              <w:adjustRightInd w:val="0"/>
              <w:snapToGrid w:val="0"/>
              <w:spacing w:line="240" w:lineRule="auto"/>
              <w:jc w:val="center"/>
              <w:rPr>
                <w:rFonts w:hint="eastAsia" w:ascii="宋体" w:hAnsi="宋体" w:eastAsia="宋体" w:cs="宋体"/>
                <w:b w:val="0"/>
                <w:bCs w:val="0"/>
                <w:color w:val="auto"/>
                <w:sz w:val="24"/>
                <w:szCs w:val="24"/>
                <w:lang w:val="en-US" w:eastAsia="zh-CN" w:bidi="ar-SA"/>
              </w:rPr>
            </w:pPr>
            <w:r>
              <w:rPr>
                <w:rFonts w:hint="eastAsia" w:ascii="宋体" w:hAnsi="宋体" w:eastAsia="宋体" w:cs="宋体"/>
                <w:b w:val="0"/>
                <w:bCs w:val="0"/>
                <w:color w:val="auto"/>
                <w:sz w:val="24"/>
                <w:szCs w:val="24"/>
              </w:rPr>
              <w:t>资料备齐后</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日内</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14:paraId="0157F1E2">
            <w:pPr>
              <w:adjustRightInd w:val="0"/>
              <w:snapToGrid w:val="0"/>
              <w:spacing w:line="240" w:lineRule="auto"/>
              <w:jc w:val="center"/>
              <w:rPr>
                <w:rFonts w:hint="eastAsia" w:ascii="宋体" w:hAnsi="宋体" w:eastAsia="宋体" w:cs="宋体"/>
                <w:b w:val="0"/>
                <w:bCs w:val="0"/>
                <w:color w:val="auto"/>
                <w:sz w:val="24"/>
                <w:szCs w:val="24"/>
                <w:lang w:val="en-US" w:eastAsia="zh-CN" w:bidi="ar-SA"/>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AFE8093">
            <w:pPr>
              <w:adjustRightInd w:val="0"/>
              <w:snapToGrid w:val="0"/>
              <w:spacing w:line="240" w:lineRule="auto"/>
              <w:jc w:val="center"/>
              <w:rPr>
                <w:rFonts w:hint="eastAsia" w:ascii="宋体" w:hAnsi="宋体" w:eastAsia="宋体" w:cs="宋体"/>
                <w:b w:val="0"/>
                <w:bCs w:val="0"/>
                <w:color w:val="auto"/>
                <w:sz w:val="24"/>
                <w:szCs w:val="24"/>
                <w:lang w:val="en-US" w:eastAsia="zh-CN"/>
              </w:rPr>
            </w:pPr>
          </w:p>
        </w:tc>
      </w:tr>
      <w:tr w14:paraId="10A9DE19">
        <w:tblPrEx>
          <w:tblCellMar>
            <w:top w:w="0" w:type="dxa"/>
            <w:left w:w="0" w:type="dxa"/>
            <w:bottom w:w="0" w:type="dxa"/>
            <w:right w:w="0" w:type="dxa"/>
          </w:tblCellMar>
        </w:tblPrEx>
        <w:trPr>
          <w:trHeight w:val="850" w:hRule="atLeast"/>
          <w:jc w:val="center"/>
        </w:trPr>
        <w:tc>
          <w:tcPr>
            <w:tcW w:w="1423" w:type="dxa"/>
            <w:vMerge w:val="continue"/>
            <w:tcBorders>
              <w:left w:val="single" w:color="000000" w:sz="4" w:space="0"/>
              <w:bottom w:val="single" w:color="000000" w:sz="4" w:space="0"/>
              <w:right w:val="single" w:color="000000" w:sz="4" w:space="0"/>
            </w:tcBorders>
            <w:noWrap w:val="0"/>
            <w:vAlign w:val="center"/>
          </w:tcPr>
          <w:p w14:paraId="5F144F6B">
            <w:pPr>
              <w:adjustRightInd w:val="0"/>
              <w:snapToGrid w:val="0"/>
              <w:spacing w:line="240" w:lineRule="auto"/>
              <w:jc w:val="center"/>
              <w:rPr>
                <w:rFonts w:hint="eastAsia" w:ascii="宋体" w:hAnsi="宋体" w:eastAsia="宋体" w:cs="宋体"/>
                <w:b w:val="0"/>
                <w:bCs w:val="0"/>
                <w:color w:val="auto"/>
                <w:sz w:val="24"/>
                <w:szCs w:val="24"/>
              </w:rPr>
            </w:pPr>
          </w:p>
        </w:tc>
        <w:tc>
          <w:tcPr>
            <w:tcW w:w="1832" w:type="dxa"/>
            <w:tcBorders>
              <w:top w:val="single" w:color="000000" w:sz="4" w:space="0"/>
              <w:left w:val="single" w:color="000000" w:sz="4" w:space="0"/>
              <w:bottom w:val="single" w:color="000000" w:sz="4" w:space="0"/>
              <w:right w:val="single" w:color="000000" w:sz="4" w:space="0"/>
            </w:tcBorders>
            <w:noWrap w:val="0"/>
            <w:vAlign w:val="center"/>
          </w:tcPr>
          <w:p w14:paraId="4BF1008B">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竣工验收报告</w:t>
            </w:r>
          </w:p>
        </w:tc>
        <w:tc>
          <w:tcPr>
            <w:tcW w:w="1705" w:type="dxa"/>
            <w:tcBorders>
              <w:top w:val="single" w:color="000000" w:sz="4" w:space="0"/>
              <w:left w:val="single" w:color="000000" w:sz="4" w:space="0"/>
              <w:bottom w:val="single" w:color="000000" w:sz="4" w:space="0"/>
              <w:right w:val="single" w:color="000000" w:sz="4" w:space="0"/>
            </w:tcBorders>
            <w:noWrap w:val="0"/>
            <w:vAlign w:val="center"/>
          </w:tcPr>
          <w:p w14:paraId="042CBFCE">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根据要求</w:t>
            </w:r>
          </w:p>
        </w:tc>
        <w:tc>
          <w:tcPr>
            <w:tcW w:w="2436" w:type="dxa"/>
            <w:tcBorders>
              <w:top w:val="single" w:color="000000" w:sz="4" w:space="0"/>
              <w:left w:val="single" w:color="000000" w:sz="4" w:space="0"/>
              <w:bottom w:val="single" w:color="000000" w:sz="4" w:space="0"/>
              <w:right w:val="single" w:color="000000" w:sz="4" w:space="0"/>
            </w:tcBorders>
            <w:noWrap w:val="0"/>
            <w:vAlign w:val="center"/>
          </w:tcPr>
          <w:p w14:paraId="177F4EE5">
            <w:pPr>
              <w:adjustRightInd w:val="0"/>
              <w:snapToGrid w:val="0"/>
              <w:spacing w:line="240" w:lineRule="auto"/>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现场验收完成，资料备齐后</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日</w:t>
            </w:r>
            <w:r>
              <w:rPr>
                <w:rFonts w:hint="eastAsia" w:ascii="宋体" w:hAnsi="宋体" w:eastAsia="宋体" w:cs="宋体"/>
                <w:b w:val="0"/>
                <w:bCs w:val="0"/>
                <w:color w:val="auto"/>
                <w:sz w:val="24"/>
                <w:szCs w:val="24"/>
                <w:lang w:val="en-US" w:eastAsia="zh-CN"/>
              </w:rPr>
              <w:t>内。</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14:paraId="2CB34BDF">
            <w:pPr>
              <w:adjustRightInd w:val="0"/>
              <w:snapToGrid w:val="0"/>
              <w:spacing w:line="240" w:lineRule="auto"/>
              <w:jc w:val="center"/>
              <w:rPr>
                <w:rFonts w:hint="eastAsia" w:ascii="宋体" w:hAnsi="宋体" w:eastAsia="宋体" w:cs="宋体"/>
                <w:b w:val="0"/>
                <w:bCs w:val="0"/>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E284240">
            <w:pPr>
              <w:adjustRightInd w:val="0"/>
              <w:snapToGrid w:val="0"/>
              <w:spacing w:line="240" w:lineRule="auto"/>
              <w:jc w:val="center"/>
              <w:rPr>
                <w:rFonts w:hint="eastAsia" w:ascii="宋体" w:hAnsi="宋体" w:eastAsia="宋体" w:cs="宋体"/>
                <w:b w:val="0"/>
                <w:bCs w:val="0"/>
                <w:color w:val="auto"/>
                <w:sz w:val="24"/>
                <w:szCs w:val="24"/>
              </w:rPr>
            </w:pPr>
          </w:p>
        </w:tc>
      </w:tr>
    </w:tbl>
    <w:p w14:paraId="09708091">
      <w:pPr>
        <w:pStyle w:val="2"/>
        <w:rPr>
          <w:rFonts w:hint="eastAsia" w:ascii="宋体" w:hAnsi="宋体" w:eastAsia="宋体" w:cs="宋体"/>
          <w:color w:val="auto"/>
        </w:rPr>
      </w:pPr>
      <w:bookmarkStart w:id="418" w:name="_Toc15995"/>
      <w:bookmarkStart w:id="419" w:name="_Toc572"/>
    </w:p>
    <w:p w14:paraId="1EE76C2E">
      <w:pPr>
        <w:rPr>
          <w:rFonts w:hint="eastAsia" w:ascii="宋体" w:hAnsi="宋体" w:eastAsia="宋体" w:cs="宋体"/>
          <w:color w:val="auto"/>
        </w:rPr>
      </w:pPr>
    </w:p>
    <w:p w14:paraId="7E9E247D">
      <w:pPr>
        <w:pStyle w:val="2"/>
        <w:rPr>
          <w:rFonts w:hint="eastAsia" w:ascii="宋体" w:hAnsi="宋体" w:eastAsia="宋体" w:cs="宋体"/>
          <w:color w:val="auto"/>
        </w:rPr>
      </w:pPr>
    </w:p>
    <w:p w14:paraId="4E3805F0">
      <w:pPr>
        <w:rPr>
          <w:rFonts w:hint="eastAsia" w:ascii="宋体" w:hAnsi="宋体" w:eastAsia="宋体" w:cs="宋体"/>
          <w:color w:val="auto"/>
        </w:rPr>
      </w:pPr>
    </w:p>
    <w:p w14:paraId="37FBDCB4">
      <w:pPr>
        <w:pStyle w:val="2"/>
        <w:rPr>
          <w:rFonts w:hint="eastAsia" w:ascii="宋体" w:hAnsi="宋体" w:eastAsia="宋体" w:cs="宋体"/>
          <w:color w:val="auto"/>
        </w:rPr>
      </w:pPr>
    </w:p>
    <w:p w14:paraId="1934AE20">
      <w:pPr>
        <w:rPr>
          <w:rFonts w:hint="eastAsia" w:ascii="宋体" w:hAnsi="宋体" w:eastAsia="宋体" w:cs="宋体"/>
          <w:color w:val="auto"/>
        </w:rPr>
      </w:pPr>
    </w:p>
    <w:p w14:paraId="69C4D14F">
      <w:pPr>
        <w:pStyle w:val="2"/>
        <w:rPr>
          <w:rFonts w:hint="eastAsia" w:ascii="宋体" w:hAnsi="宋体" w:eastAsia="宋体" w:cs="宋体"/>
          <w:color w:val="auto"/>
        </w:rPr>
      </w:pPr>
    </w:p>
    <w:p w14:paraId="6E122AE4">
      <w:pPr>
        <w:rPr>
          <w:rFonts w:hint="eastAsia" w:ascii="宋体" w:hAnsi="宋体" w:eastAsia="宋体" w:cs="宋体"/>
          <w:color w:val="auto"/>
        </w:rPr>
      </w:pPr>
    </w:p>
    <w:p w14:paraId="4780D6BC">
      <w:pPr>
        <w:pStyle w:val="5"/>
        <w:adjustRightInd w:val="0"/>
        <w:snapToGrid w:val="0"/>
        <w:spacing w:line="240" w:lineRule="auto"/>
        <w:ind w:left="12"/>
        <w:jc w:val="center"/>
        <w:rPr>
          <w:rFonts w:hint="eastAsia" w:ascii="宋体" w:hAnsi="宋体" w:eastAsia="宋体" w:cs="宋体"/>
          <w:b/>
          <w:bCs/>
          <w:color w:val="auto"/>
          <w:sz w:val="30"/>
          <w:szCs w:val="30"/>
        </w:rPr>
      </w:pPr>
      <w:bookmarkStart w:id="420" w:name="_Toc18480"/>
      <w:r>
        <w:rPr>
          <w:rFonts w:hint="eastAsia" w:ascii="宋体" w:hAnsi="宋体" w:eastAsia="宋体" w:cs="宋体"/>
          <w:b/>
          <w:bCs/>
          <w:color w:val="auto"/>
          <w:sz w:val="30"/>
          <w:szCs w:val="30"/>
        </w:rPr>
        <w:t>附录C</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rPr>
        <w:t>委托人提供资料一览表</w:t>
      </w:r>
      <w:bookmarkEnd w:id="418"/>
      <w:bookmarkEnd w:id="419"/>
      <w:bookmarkEnd w:id="420"/>
    </w:p>
    <w:tbl>
      <w:tblPr>
        <w:tblStyle w:val="51"/>
        <w:tblW w:w="8572" w:type="dxa"/>
        <w:tblInd w:w="113" w:type="dxa"/>
        <w:tblLayout w:type="fixed"/>
        <w:tblCellMar>
          <w:top w:w="0" w:type="dxa"/>
          <w:left w:w="0" w:type="dxa"/>
          <w:bottom w:w="0" w:type="dxa"/>
          <w:right w:w="0" w:type="dxa"/>
        </w:tblCellMar>
      </w:tblPr>
      <w:tblGrid>
        <w:gridCol w:w="2870"/>
        <w:gridCol w:w="784"/>
        <w:gridCol w:w="2080"/>
        <w:gridCol w:w="2838"/>
      </w:tblGrid>
      <w:tr w14:paraId="28DBBD77">
        <w:tblPrEx>
          <w:tblCellMar>
            <w:top w:w="0" w:type="dxa"/>
            <w:left w:w="0" w:type="dxa"/>
            <w:bottom w:w="0" w:type="dxa"/>
            <w:right w:w="0" w:type="dxa"/>
          </w:tblCellMar>
        </w:tblPrEx>
        <w:trPr>
          <w:trHeight w:val="850" w:hRule="atLeast"/>
        </w:trPr>
        <w:tc>
          <w:tcPr>
            <w:tcW w:w="2870" w:type="dxa"/>
            <w:tcBorders>
              <w:top w:val="single" w:color="000000" w:sz="4" w:space="0"/>
              <w:left w:val="single" w:color="000000" w:sz="4" w:space="0"/>
              <w:bottom w:val="single" w:color="000000" w:sz="4" w:space="0"/>
              <w:right w:val="single" w:color="000000" w:sz="4" w:space="0"/>
            </w:tcBorders>
            <w:noWrap w:val="0"/>
            <w:vAlign w:val="center"/>
          </w:tcPr>
          <w:p w14:paraId="3133CE24">
            <w:pPr>
              <w:pStyle w:val="311"/>
              <w:adjustRightInd w:val="0"/>
              <w:snapToGrid w:val="0"/>
              <w:spacing w:line="276"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名称</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302A58EA">
            <w:pPr>
              <w:pStyle w:val="311"/>
              <w:adjustRightInd w:val="0"/>
              <w:snapToGrid w:val="0"/>
              <w:spacing w:line="276"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份数</w:t>
            </w:r>
          </w:p>
        </w:tc>
        <w:tc>
          <w:tcPr>
            <w:tcW w:w="2080" w:type="dxa"/>
            <w:tcBorders>
              <w:top w:val="single" w:color="000000" w:sz="4" w:space="0"/>
              <w:left w:val="single" w:color="000000" w:sz="4" w:space="0"/>
              <w:bottom w:val="single" w:color="000000" w:sz="4" w:space="0"/>
              <w:right w:val="single" w:color="000000" w:sz="4" w:space="0"/>
            </w:tcBorders>
            <w:noWrap w:val="0"/>
            <w:vAlign w:val="center"/>
          </w:tcPr>
          <w:p w14:paraId="24DB82D5">
            <w:pPr>
              <w:pStyle w:val="311"/>
              <w:adjustRightInd w:val="0"/>
              <w:snapToGrid w:val="0"/>
              <w:spacing w:line="276"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提供时间</w:t>
            </w:r>
          </w:p>
        </w:tc>
        <w:tc>
          <w:tcPr>
            <w:tcW w:w="2838" w:type="dxa"/>
            <w:tcBorders>
              <w:top w:val="single" w:color="000000" w:sz="4" w:space="0"/>
              <w:left w:val="single" w:color="000000" w:sz="4" w:space="0"/>
              <w:bottom w:val="single" w:color="000000" w:sz="4" w:space="0"/>
              <w:right w:val="single" w:color="000000" w:sz="4" w:space="0"/>
            </w:tcBorders>
            <w:noWrap w:val="0"/>
            <w:vAlign w:val="center"/>
          </w:tcPr>
          <w:p w14:paraId="74ED6EEB">
            <w:pPr>
              <w:pStyle w:val="311"/>
              <w:adjustRightInd w:val="0"/>
              <w:snapToGrid w:val="0"/>
              <w:spacing w:line="276" w:lineRule="exact"/>
              <w:ind w:right="3"/>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14:paraId="3C389F7C">
        <w:tblPrEx>
          <w:tblCellMar>
            <w:top w:w="0" w:type="dxa"/>
            <w:left w:w="0" w:type="dxa"/>
            <w:bottom w:w="0" w:type="dxa"/>
            <w:right w:w="0" w:type="dxa"/>
          </w:tblCellMar>
        </w:tblPrEx>
        <w:trPr>
          <w:trHeight w:val="850" w:hRule="atLeast"/>
        </w:trPr>
        <w:tc>
          <w:tcPr>
            <w:tcW w:w="2870" w:type="dxa"/>
            <w:tcBorders>
              <w:top w:val="single" w:color="000000" w:sz="4" w:space="0"/>
              <w:left w:val="single" w:color="000000" w:sz="4" w:space="0"/>
              <w:bottom w:val="single" w:color="000000" w:sz="4" w:space="0"/>
              <w:right w:val="single" w:color="000000" w:sz="4" w:space="0"/>
            </w:tcBorders>
            <w:noWrap w:val="0"/>
            <w:vAlign w:val="center"/>
          </w:tcPr>
          <w:p w14:paraId="6A823CBE">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作业设计</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910867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2080" w:type="dxa"/>
            <w:tcBorders>
              <w:top w:val="single" w:color="000000" w:sz="4" w:space="0"/>
              <w:left w:val="single" w:color="000000" w:sz="4" w:space="0"/>
              <w:bottom w:val="single" w:color="000000" w:sz="4" w:space="0"/>
              <w:right w:val="single" w:color="000000" w:sz="4" w:space="0"/>
            </w:tcBorders>
            <w:noWrap w:val="0"/>
            <w:vAlign w:val="center"/>
          </w:tcPr>
          <w:p w14:paraId="275B4754">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合同签订后</w:t>
            </w:r>
            <w:r>
              <w:rPr>
                <w:rFonts w:hint="eastAsia" w:ascii="宋体" w:hAnsi="宋体" w:eastAsia="宋体" w:cs="宋体"/>
                <w:color w:val="auto"/>
                <w:sz w:val="24"/>
                <w:szCs w:val="24"/>
                <w:lang w:val="en-US" w:eastAsia="zh-CN"/>
              </w:rPr>
              <w:t>3个工作日内</w:t>
            </w:r>
          </w:p>
        </w:tc>
        <w:tc>
          <w:tcPr>
            <w:tcW w:w="2838" w:type="dxa"/>
            <w:tcBorders>
              <w:top w:val="single" w:color="000000" w:sz="4" w:space="0"/>
              <w:left w:val="single" w:color="000000" w:sz="4" w:space="0"/>
              <w:bottom w:val="single" w:color="000000" w:sz="4" w:space="0"/>
              <w:right w:val="single" w:color="000000" w:sz="4" w:space="0"/>
            </w:tcBorders>
            <w:noWrap w:val="0"/>
            <w:vAlign w:val="center"/>
          </w:tcPr>
          <w:p w14:paraId="2C66A77B">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pdf</w:t>
            </w:r>
            <w:r>
              <w:rPr>
                <w:rFonts w:hint="eastAsia" w:ascii="宋体" w:hAnsi="宋体" w:eastAsia="宋体" w:cs="宋体"/>
                <w:color w:val="auto"/>
                <w:sz w:val="24"/>
                <w:szCs w:val="24"/>
                <w:lang w:eastAsia="zh-CN"/>
              </w:rPr>
              <w:t>电子版</w:t>
            </w:r>
          </w:p>
        </w:tc>
      </w:tr>
      <w:tr w14:paraId="7447159B">
        <w:tblPrEx>
          <w:tblCellMar>
            <w:top w:w="0" w:type="dxa"/>
            <w:left w:w="0" w:type="dxa"/>
            <w:bottom w:w="0" w:type="dxa"/>
            <w:right w:w="0" w:type="dxa"/>
          </w:tblCellMar>
        </w:tblPrEx>
        <w:trPr>
          <w:trHeight w:val="850" w:hRule="atLeast"/>
        </w:trPr>
        <w:tc>
          <w:tcPr>
            <w:tcW w:w="2870" w:type="dxa"/>
            <w:tcBorders>
              <w:top w:val="single" w:color="000000" w:sz="4" w:space="0"/>
              <w:left w:val="single" w:color="000000" w:sz="4" w:space="0"/>
              <w:bottom w:val="single" w:color="000000" w:sz="4" w:space="0"/>
              <w:right w:val="single" w:color="000000" w:sz="4" w:space="0"/>
            </w:tcBorders>
            <w:noWrap w:val="0"/>
            <w:vAlign w:val="center"/>
          </w:tcPr>
          <w:p w14:paraId="0404DF6A">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工程施工合同及其他相关合同</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3F8BCF8">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2080" w:type="dxa"/>
            <w:tcBorders>
              <w:top w:val="single" w:color="000000" w:sz="4" w:space="0"/>
              <w:left w:val="single" w:color="000000" w:sz="4" w:space="0"/>
              <w:bottom w:val="single" w:color="000000" w:sz="4" w:space="0"/>
              <w:right w:val="single" w:color="000000" w:sz="4" w:space="0"/>
            </w:tcBorders>
            <w:noWrap w:val="0"/>
            <w:vAlign w:val="center"/>
          </w:tcPr>
          <w:p w14:paraId="3B01AB4E">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合同签订后</w:t>
            </w:r>
            <w:r>
              <w:rPr>
                <w:rFonts w:hint="eastAsia" w:ascii="宋体" w:hAnsi="宋体" w:eastAsia="宋体" w:cs="宋体"/>
                <w:color w:val="auto"/>
                <w:sz w:val="24"/>
                <w:szCs w:val="24"/>
                <w:lang w:val="en-US" w:eastAsia="zh-CN"/>
              </w:rPr>
              <w:t>3个工作日内</w:t>
            </w:r>
          </w:p>
        </w:tc>
        <w:tc>
          <w:tcPr>
            <w:tcW w:w="2838" w:type="dxa"/>
            <w:tcBorders>
              <w:top w:val="single" w:color="000000" w:sz="4" w:space="0"/>
              <w:left w:val="single" w:color="000000" w:sz="4" w:space="0"/>
              <w:bottom w:val="single" w:color="000000" w:sz="4" w:space="0"/>
              <w:right w:val="single" w:color="000000" w:sz="4" w:space="0"/>
            </w:tcBorders>
            <w:noWrap w:val="0"/>
            <w:vAlign w:val="center"/>
          </w:tcPr>
          <w:p w14:paraId="58EBDC9C">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纸质或pdf</w:t>
            </w:r>
            <w:r>
              <w:rPr>
                <w:rFonts w:hint="eastAsia" w:ascii="宋体" w:hAnsi="宋体" w:eastAsia="宋体" w:cs="宋体"/>
                <w:color w:val="auto"/>
                <w:sz w:val="24"/>
                <w:szCs w:val="24"/>
                <w:lang w:eastAsia="zh-CN"/>
              </w:rPr>
              <w:t>电子版</w:t>
            </w:r>
          </w:p>
        </w:tc>
      </w:tr>
      <w:tr w14:paraId="7833C58E">
        <w:tblPrEx>
          <w:tblCellMar>
            <w:top w:w="0" w:type="dxa"/>
            <w:left w:w="0" w:type="dxa"/>
            <w:bottom w:w="0" w:type="dxa"/>
            <w:right w:w="0" w:type="dxa"/>
          </w:tblCellMar>
        </w:tblPrEx>
        <w:trPr>
          <w:trHeight w:val="850" w:hRule="atLeast"/>
        </w:trPr>
        <w:tc>
          <w:tcPr>
            <w:tcW w:w="2870" w:type="dxa"/>
            <w:tcBorders>
              <w:top w:val="single" w:color="000000" w:sz="4" w:space="0"/>
              <w:left w:val="single" w:color="000000" w:sz="4" w:space="0"/>
              <w:bottom w:val="single" w:color="000000" w:sz="4" w:space="0"/>
              <w:right w:val="single" w:color="000000" w:sz="4" w:space="0"/>
            </w:tcBorders>
            <w:noWrap w:val="0"/>
            <w:vAlign w:val="center"/>
          </w:tcPr>
          <w:p w14:paraId="67538320">
            <w:pPr>
              <w:adjustRightInd w:val="0"/>
              <w:snapToGrid w:val="0"/>
              <w:jc w:val="center"/>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rPr>
              <w:t>工程变更、签证资料</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E3243A1">
            <w:pPr>
              <w:adjustRightInd w:val="0"/>
              <w:snapToGrid w:val="0"/>
              <w:jc w:val="center"/>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rPr>
              <w:t>1</w:t>
            </w:r>
          </w:p>
        </w:tc>
        <w:tc>
          <w:tcPr>
            <w:tcW w:w="2080" w:type="dxa"/>
            <w:tcBorders>
              <w:top w:val="single" w:color="000000" w:sz="4" w:space="0"/>
              <w:left w:val="single" w:color="000000" w:sz="4" w:space="0"/>
              <w:bottom w:val="single" w:color="000000" w:sz="4" w:space="0"/>
              <w:right w:val="single" w:color="000000" w:sz="4" w:space="0"/>
            </w:tcBorders>
            <w:noWrap w:val="0"/>
            <w:vAlign w:val="center"/>
          </w:tcPr>
          <w:p w14:paraId="2B13E319">
            <w:pPr>
              <w:adjustRightInd w:val="0"/>
              <w:snapToGrid w:val="0"/>
              <w:jc w:val="center"/>
              <w:rPr>
                <w:rFonts w:hint="eastAsia" w:ascii="宋体" w:hAnsi="宋体" w:eastAsia="宋体" w:cs="宋体"/>
                <w:color w:val="auto"/>
                <w:sz w:val="24"/>
                <w:szCs w:val="24"/>
                <w:lang w:val="en-US" w:eastAsia="zh-CN" w:bidi="ar-SA"/>
              </w:rPr>
            </w:pPr>
          </w:p>
        </w:tc>
        <w:tc>
          <w:tcPr>
            <w:tcW w:w="2838" w:type="dxa"/>
            <w:tcBorders>
              <w:top w:val="single" w:color="000000" w:sz="4" w:space="0"/>
              <w:left w:val="single" w:color="000000" w:sz="4" w:space="0"/>
              <w:bottom w:val="single" w:color="000000" w:sz="4" w:space="0"/>
              <w:right w:val="single" w:color="000000" w:sz="4" w:space="0"/>
            </w:tcBorders>
            <w:noWrap w:val="0"/>
            <w:vAlign w:val="center"/>
          </w:tcPr>
          <w:p w14:paraId="3E08C608">
            <w:pPr>
              <w:adjustRightInd w:val="0"/>
              <w:snapToGrid w:val="0"/>
              <w:jc w:val="center"/>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rPr>
              <w:t>依据现场实际需要</w:t>
            </w:r>
          </w:p>
        </w:tc>
      </w:tr>
      <w:tr w14:paraId="6BF33E83">
        <w:tblPrEx>
          <w:tblCellMar>
            <w:top w:w="0" w:type="dxa"/>
            <w:left w:w="0" w:type="dxa"/>
            <w:bottom w:w="0" w:type="dxa"/>
            <w:right w:w="0" w:type="dxa"/>
          </w:tblCellMar>
        </w:tblPrEx>
        <w:trPr>
          <w:trHeight w:val="850" w:hRule="atLeast"/>
        </w:trPr>
        <w:tc>
          <w:tcPr>
            <w:tcW w:w="2870" w:type="dxa"/>
            <w:tcBorders>
              <w:top w:val="single" w:color="000000" w:sz="4" w:space="0"/>
              <w:left w:val="single" w:color="000000" w:sz="4" w:space="0"/>
              <w:bottom w:val="single" w:color="000000" w:sz="4" w:space="0"/>
              <w:right w:val="single" w:color="000000" w:sz="4" w:space="0"/>
            </w:tcBorders>
            <w:noWrap w:val="0"/>
            <w:vAlign w:val="center"/>
          </w:tcPr>
          <w:p w14:paraId="64A808B4">
            <w:pPr>
              <w:adjustRightInd w:val="0"/>
              <w:snapToGrid w:val="0"/>
              <w:jc w:val="center"/>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rPr>
              <w:t>实施阶段过程资料</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6E9EB32F">
            <w:pPr>
              <w:adjustRightInd w:val="0"/>
              <w:snapToGrid w:val="0"/>
              <w:jc w:val="center"/>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rPr>
              <w:t>1</w:t>
            </w:r>
          </w:p>
        </w:tc>
        <w:tc>
          <w:tcPr>
            <w:tcW w:w="2080" w:type="dxa"/>
            <w:tcBorders>
              <w:top w:val="single" w:color="000000" w:sz="4" w:space="0"/>
              <w:left w:val="single" w:color="000000" w:sz="4" w:space="0"/>
              <w:bottom w:val="single" w:color="000000" w:sz="4" w:space="0"/>
              <w:right w:val="single" w:color="000000" w:sz="4" w:space="0"/>
            </w:tcBorders>
            <w:noWrap w:val="0"/>
            <w:vAlign w:val="center"/>
          </w:tcPr>
          <w:p w14:paraId="67A9D265">
            <w:pPr>
              <w:adjustRightInd w:val="0"/>
              <w:snapToGrid w:val="0"/>
              <w:jc w:val="center"/>
              <w:rPr>
                <w:rFonts w:hint="eastAsia" w:ascii="宋体" w:hAnsi="宋体" w:eastAsia="宋体" w:cs="宋体"/>
                <w:color w:val="auto"/>
                <w:sz w:val="24"/>
                <w:szCs w:val="24"/>
                <w:lang w:val="en-US" w:eastAsia="zh-CN" w:bidi="ar-SA"/>
              </w:rPr>
            </w:pPr>
          </w:p>
        </w:tc>
        <w:tc>
          <w:tcPr>
            <w:tcW w:w="2838" w:type="dxa"/>
            <w:tcBorders>
              <w:top w:val="single" w:color="000000" w:sz="4" w:space="0"/>
              <w:left w:val="single" w:color="000000" w:sz="4" w:space="0"/>
              <w:bottom w:val="single" w:color="000000" w:sz="4" w:space="0"/>
              <w:right w:val="single" w:color="000000" w:sz="4" w:space="0"/>
            </w:tcBorders>
            <w:noWrap w:val="0"/>
            <w:vAlign w:val="center"/>
          </w:tcPr>
          <w:p w14:paraId="59F24B8B">
            <w:pPr>
              <w:adjustRightInd w:val="0"/>
              <w:snapToGrid w:val="0"/>
              <w:jc w:val="center"/>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rPr>
              <w:t>依据现场实际需要</w:t>
            </w:r>
          </w:p>
        </w:tc>
      </w:tr>
      <w:tr w14:paraId="0CAAB1E1">
        <w:tblPrEx>
          <w:tblCellMar>
            <w:top w:w="0" w:type="dxa"/>
            <w:left w:w="0" w:type="dxa"/>
            <w:bottom w:w="0" w:type="dxa"/>
            <w:right w:w="0" w:type="dxa"/>
          </w:tblCellMar>
        </w:tblPrEx>
        <w:trPr>
          <w:trHeight w:val="850" w:hRule="atLeast"/>
        </w:trPr>
        <w:tc>
          <w:tcPr>
            <w:tcW w:w="2870" w:type="dxa"/>
            <w:tcBorders>
              <w:top w:val="single" w:color="000000" w:sz="4" w:space="0"/>
              <w:left w:val="single" w:color="000000" w:sz="4" w:space="0"/>
              <w:bottom w:val="single" w:color="000000" w:sz="4" w:space="0"/>
              <w:right w:val="single" w:color="000000" w:sz="4" w:space="0"/>
            </w:tcBorders>
            <w:noWrap w:val="0"/>
            <w:vAlign w:val="center"/>
          </w:tcPr>
          <w:p w14:paraId="200AB220">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其它资料</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61184FAD">
            <w:pPr>
              <w:adjustRightInd w:val="0"/>
              <w:snapToGrid w:val="0"/>
              <w:jc w:val="center"/>
              <w:rPr>
                <w:rFonts w:hint="eastAsia" w:ascii="宋体" w:hAnsi="宋体" w:eastAsia="宋体" w:cs="宋体"/>
                <w:color w:val="auto"/>
                <w:sz w:val="24"/>
                <w:szCs w:val="24"/>
              </w:rPr>
            </w:pPr>
          </w:p>
        </w:tc>
        <w:tc>
          <w:tcPr>
            <w:tcW w:w="2080" w:type="dxa"/>
            <w:tcBorders>
              <w:top w:val="single" w:color="000000" w:sz="4" w:space="0"/>
              <w:left w:val="single" w:color="000000" w:sz="4" w:space="0"/>
              <w:bottom w:val="single" w:color="000000" w:sz="4" w:space="0"/>
              <w:right w:val="single" w:color="000000" w:sz="4" w:space="0"/>
            </w:tcBorders>
            <w:noWrap w:val="0"/>
            <w:vAlign w:val="center"/>
          </w:tcPr>
          <w:p w14:paraId="3DF67358">
            <w:pPr>
              <w:adjustRightInd w:val="0"/>
              <w:snapToGrid w:val="0"/>
              <w:jc w:val="center"/>
              <w:rPr>
                <w:rFonts w:hint="eastAsia" w:ascii="宋体" w:hAnsi="宋体" w:eastAsia="宋体" w:cs="宋体"/>
                <w:color w:val="auto"/>
                <w:sz w:val="24"/>
                <w:szCs w:val="24"/>
              </w:rPr>
            </w:pPr>
          </w:p>
        </w:tc>
        <w:tc>
          <w:tcPr>
            <w:tcW w:w="2838" w:type="dxa"/>
            <w:tcBorders>
              <w:top w:val="single" w:color="000000" w:sz="4" w:space="0"/>
              <w:left w:val="single" w:color="000000" w:sz="4" w:space="0"/>
              <w:bottom w:val="single" w:color="000000" w:sz="4" w:space="0"/>
              <w:right w:val="single" w:color="000000" w:sz="4" w:space="0"/>
            </w:tcBorders>
            <w:noWrap w:val="0"/>
            <w:vAlign w:val="center"/>
          </w:tcPr>
          <w:p w14:paraId="5CF5094D">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根据现场需要</w:t>
            </w:r>
          </w:p>
        </w:tc>
      </w:tr>
    </w:tbl>
    <w:p w14:paraId="4484F0B1">
      <w:pPr>
        <w:pStyle w:val="2"/>
        <w:rPr>
          <w:rFonts w:hint="eastAsia" w:ascii="宋体" w:hAnsi="宋体" w:eastAsia="宋体" w:cs="宋体"/>
          <w:color w:val="auto"/>
        </w:rPr>
      </w:pPr>
      <w:bookmarkStart w:id="421" w:name="_Toc7844"/>
      <w:bookmarkStart w:id="422" w:name="_Toc2281"/>
      <w:bookmarkStart w:id="423" w:name="_Toc2992"/>
      <w:bookmarkStart w:id="424" w:name="_Toc10107543"/>
    </w:p>
    <w:p w14:paraId="713911E7">
      <w:pPr>
        <w:pStyle w:val="2"/>
        <w:rPr>
          <w:rFonts w:hint="eastAsia" w:ascii="宋体" w:hAnsi="宋体" w:eastAsia="宋体" w:cs="宋体"/>
          <w:color w:val="auto"/>
        </w:rPr>
      </w:pPr>
    </w:p>
    <w:p w14:paraId="666CE118">
      <w:pPr>
        <w:rPr>
          <w:rFonts w:hint="eastAsia" w:ascii="宋体" w:hAnsi="宋体" w:eastAsia="宋体" w:cs="宋体"/>
          <w:color w:val="auto"/>
        </w:rPr>
      </w:pPr>
    </w:p>
    <w:p w14:paraId="0B87D2DD">
      <w:pPr>
        <w:pStyle w:val="2"/>
        <w:rPr>
          <w:rFonts w:hint="eastAsia" w:ascii="宋体" w:hAnsi="宋体" w:eastAsia="宋体" w:cs="宋体"/>
          <w:color w:val="auto"/>
        </w:rPr>
      </w:pPr>
    </w:p>
    <w:p w14:paraId="56BD9E5B">
      <w:pPr>
        <w:rPr>
          <w:rFonts w:hint="eastAsia" w:ascii="宋体" w:hAnsi="宋体" w:eastAsia="宋体" w:cs="宋体"/>
          <w:color w:val="auto"/>
        </w:rPr>
      </w:pPr>
    </w:p>
    <w:p w14:paraId="0213086D">
      <w:pPr>
        <w:pStyle w:val="2"/>
        <w:rPr>
          <w:rFonts w:hint="eastAsia" w:ascii="宋体" w:hAnsi="宋体" w:eastAsia="宋体" w:cs="宋体"/>
          <w:color w:val="auto"/>
        </w:rPr>
      </w:pPr>
    </w:p>
    <w:p w14:paraId="584C4E09">
      <w:pPr>
        <w:rPr>
          <w:rFonts w:hint="eastAsia" w:ascii="宋体" w:hAnsi="宋体" w:eastAsia="宋体" w:cs="宋体"/>
          <w:color w:val="auto"/>
        </w:rPr>
      </w:pPr>
    </w:p>
    <w:p w14:paraId="481A304A">
      <w:pPr>
        <w:pStyle w:val="2"/>
        <w:rPr>
          <w:rFonts w:hint="eastAsia" w:ascii="宋体" w:hAnsi="宋体" w:eastAsia="宋体" w:cs="宋体"/>
          <w:color w:val="auto"/>
        </w:rPr>
      </w:pPr>
    </w:p>
    <w:p w14:paraId="1851C4C3">
      <w:pPr>
        <w:rPr>
          <w:rFonts w:hint="eastAsia" w:ascii="宋体" w:hAnsi="宋体" w:eastAsia="宋体" w:cs="宋体"/>
          <w:color w:val="auto"/>
        </w:rPr>
      </w:pPr>
    </w:p>
    <w:p w14:paraId="406C0E9C">
      <w:pPr>
        <w:pStyle w:val="2"/>
        <w:rPr>
          <w:rFonts w:hint="eastAsia" w:ascii="宋体" w:hAnsi="宋体" w:eastAsia="宋体" w:cs="宋体"/>
          <w:color w:val="auto"/>
        </w:rPr>
      </w:pPr>
    </w:p>
    <w:p w14:paraId="1DEF8018">
      <w:pPr>
        <w:rPr>
          <w:rFonts w:hint="eastAsia" w:ascii="宋体" w:hAnsi="宋体" w:eastAsia="宋体" w:cs="宋体"/>
          <w:color w:val="auto"/>
        </w:rPr>
      </w:pPr>
    </w:p>
    <w:p w14:paraId="08F31A58">
      <w:pPr>
        <w:pStyle w:val="2"/>
        <w:rPr>
          <w:rFonts w:hint="eastAsia" w:ascii="宋体" w:hAnsi="宋体" w:eastAsia="宋体" w:cs="宋体"/>
          <w:color w:val="auto"/>
        </w:rPr>
      </w:pPr>
    </w:p>
    <w:p w14:paraId="10338B52">
      <w:pPr>
        <w:rPr>
          <w:rFonts w:hint="eastAsia" w:ascii="宋体" w:hAnsi="宋体" w:eastAsia="宋体" w:cs="宋体"/>
          <w:color w:val="auto"/>
        </w:rPr>
      </w:pPr>
    </w:p>
    <w:p w14:paraId="672D1166">
      <w:pPr>
        <w:pStyle w:val="2"/>
        <w:rPr>
          <w:rFonts w:hint="eastAsia" w:ascii="宋体" w:hAnsi="宋体" w:eastAsia="宋体" w:cs="宋体"/>
          <w:color w:val="auto"/>
        </w:rPr>
      </w:pPr>
    </w:p>
    <w:p w14:paraId="7B9853AC">
      <w:pPr>
        <w:rPr>
          <w:rFonts w:hint="eastAsia" w:ascii="宋体" w:hAnsi="宋体" w:eastAsia="宋体" w:cs="宋体"/>
          <w:color w:val="auto"/>
        </w:rPr>
      </w:pPr>
    </w:p>
    <w:p w14:paraId="1F5093A4">
      <w:pPr>
        <w:pStyle w:val="2"/>
        <w:rPr>
          <w:rFonts w:hint="eastAsia" w:ascii="宋体" w:hAnsi="宋体" w:eastAsia="宋体" w:cs="宋体"/>
          <w:color w:val="auto"/>
        </w:rPr>
      </w:pPr>
    </w:p>
    <w:p w14:paraId="2719C8AA">
      <w:pPr>
        <w:rPr>
          <w:rFonts w:hint="eastAsia" w:ascii="宋体" w:hAnsi="宋体" w:eastAsia="宋体" w:cs="宋体"/>
          <w:color w:val="auto"/>
        </w:rPr>
      </w:pPr>
    </w:p>
    <w:p w14:paraId="5D959F0B">
      <w:pPr>
        <w:pStyle w:val="2"/>
        <w:rPr>
          <w:rFonts w:hint="eastAsia" w:ascii="宋体" w:hAnsi="宋体" w:eastAsia="宋体" w:cs="宋体"/>
          <w:color w:val="auto"/>
        </w:rPr>
      </w:pPr>
    </w:p>
    <w:p w14:paraId="23C11EE0">
      <w:pPr>
        <w:rPr>
          <w:rFonts w:hint="eastAsia" w:ascii="宋体" w:hAnsi="宋体" w:eastAsia="宋体" w:cs="宋体"/>
          <w:color w:val="auto"/>
        </w:rPr>
      </w:pPr>
    </w:p>
    <w:p w14:paraId="6EBBEE0F">
      <w:pPr>
        <w:pStyle w:val="2"/>
        <w:rPr>
          <w:rFonts w:hint="eastAsia" w:ascii="宋体" w:hAnsi="宋体" w:eastAsia="宋体" w:cs="宋体"/>
          <w:color w:val="auto"/>
        </w:rPr>
      </w:pPr>
    </w:p>
    <w:p w14:paraId="4CC30A00">
      <w:pPr>
        <w:rPr>
          <w:rFonts w:hint="eastAsia"/>
        </w:rPr>
      </w:pPr>
    </w:p>
    <w:p w14:paraId="05D0EC5B">
      <w:pPr>
        <w:pStyle w:val="2"/>
        <w:rPr>
          <w:rFonts w:hint="eastAsia" w:ascii="宋体" w:hAnsi="宋体" w:eastAsia="宋体" w:cs="宋体"/>
        </w:rPr>
      </w:pPr>
    </w:p>
    <w:p w14:paraId="0EC8E6EF">
      <w:pPr>
        <w:pStyle w:val="2"/>
        <w:rPr>
          <w:rFonts w:hint="eastAsia" w:ascii="宋体" w:hAnsi="宋体" w:eastAsia="宋体" w:cs="宋体"/>
          <w:color w:val="auto"/>
        </w:rPr>
      </w:pPr>
    </w:p>
    <w:p w14:paraId="1739C553">
      <w:pPr>
        <w:pStyle w:val="2"/>
        <w:rPr>
          <w:rFonts w:hint="eastAsia" w:ascii="宋体" w:hAnsi="宋体" w:eastAsia="宋体" w:cs="宋体"/>
          <w:color w:val="auto"/>
        </w:rPr>
      </w:pPr>
    </w:p>
    <w:bookmarkEnd w:id="421"/>
    <w:bookmarkEnd w:id="422"/>
    <w:bookmarkEnd w:id="423"/>
    <w:bookmarkEnd w:id="424"/>
    <w:p w14:paraId="4D8EF092">
      <w:pPr>
        <w:pStyle w:val="5"/>
        <w:adjustRightInd w:val="0"/>
        <w:snapToGrid w:val="0"/>
        <w:spacing w:line="240" w:lineRule="auto"/>
        <w:ind w:left="12"/>
        <w:jc w:val="center"/>
        <w:rPr>
          <w:rFonts w:hint="eastAsia" w:ascii="宋体" w:hAnsi="宋体" w:eastAsia="宋体" w:cs="宋体"/>
          <w:b/>
          <w:bCs/>
          <w:color w:val="auto"/>
          <w:sz w:val="30"/>
          <w:szCs w:val="30"/>
        </w:rPr>
      </w:pPr>
      <w:bookmarkStart w:id="425" w:name="_Toc14241"/>
      <w:r>
        <w:rPr>
          <w:rFonts w:hint="eastAsia" w:ascii="宋体" w:hAnsi="宋体" w:eastAsia="宋体" w:cs="宋体"/>
          <w:b/>
          <w:bCs/>
          <w:color w:val="auto"/>
          <w:sz w:val="30"/>
          <w:szCs w:val="30"/>
        </w:rPr>
        <w:t>保密协议</w:t>
      </w:r>
      <w:bookmarkEnd w:id="425"/>
    </w:p>
    <w:p w14:paraId="4920126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6AF511C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甲方：</w:t>
      </w:r>
      <w:r>
        <w:rPr>
          <w:rFonts w:hint="eastAsia" w:ascii="宋体" w:hAnsi="宋体" w:eastAsia="宋体" w:cs="宋体"/>
          <w:color w:val="auto"/>
          <w:sz w:val="24"/>
          <w:szCs w:val="24"/>
          <w:u w:val="single"/>
        </w:rPr>
        <w:t>渭南市林业局</w:t>
      </w:r>
    </w:p>
    <w:p w14:paraId="437A6F8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lang w:val="en-US" w:eastAsia="zh-CN"/>
        </w:rPr>
        <w:t xml:space="preserve">                     </w:t>
      </w:r>
    </w:p>
    <w:p w14:paraId="0EB61C3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2CAB9EE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因乙方现为甲方提供服务，已经（或将要）知悉甲方的商业秘密，为明确乙方的保密义务和维护双方的合法权益，依据相关法规，甲乙双方本着平等、自愿、公平和诚实信用的原则签订本协议。</w:t>
      </w:r>
    </w:p>
    <w:p w14:paraId="688557D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一、甲方向乙方提供的资料，仅限于乙方开展工作使用，乙方对甲方提供的所有资料必须规范管理。</w:t>
      </w:r>
    </w:p>
    <w:p w14:paraId="254AD6D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二、乙方在咨询过程知悉的甲方的秘密负有保密义务，不得向有利益关系的第三人泄露。</w:t>
      </w:r>
    </w:p>
    <w:p w14:paraId="7F2B7D7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三、乙方对咨询工作过程及成果严格保密，不得泄露资料成果的任何内容。</w:t>
      </w:r>
    </w:p>
    <w:p w14:paraId="2EC3785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四、乙方应对甲方交到自己手中的保密信息予以妥善保存，不得泄漏或遗失，在未经甲方事先书面许可，不得私自保留或复制、记录。</w:t>
      </w:r>
    </w:p>
    <w:p w14:paraId="22E3662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五、乙方对参与验收结算审核人员进行保密教育，在工作过程中严格执行国家及委托单位有关保密的规定。</w:t>
      </w:r>
    </w:p>
    <w:p w14:paraId="6F47189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六、本协议一式陆份，甲乙双方各持叁份，甲乙双方法定代</w:t>
      </w:r>
      <w:r>
        <w:rPr>
          <w:rFonts w:hint="eastAsia" w:ascii="宋体" w:hAnsi="宋体" w:eastAsia="宋体" w:cs="宋体"/>
          <w:color w:val="auto"/>
          <w:sz w:val="24"/>
          <w:szCs w:val="24"/>
          <w:lang w:eastAsia="zh-CN"/>
        </w:rPr>
        <w:t>表人或授权代表人签字并加盖单位公章后有效。</w:t>
      </w:r>
    </w:p>
    <w:p w14:paraId="34E76DB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p>
    <w:p w14:paraId="2B2EBBD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p>
    <w:p w14:paraId="5E02121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p>
    <w:p w14:paraId="243851A9">
      <w:pPr>
        <w:pStyle w:val="2"/>
        <w:rPr>
          <w:rFonts w:hint="eastAsia" w:ascii="宋体" w:hAnsi="宋体" w:eastAsia="宋体" w:cs="宋体"/>
          <w:lang w:eastAsia="zh-CN"/>
        </w:rPr>
      </w:pPr>
    </w:p>
    <w:p w14:paraId="0E76D0D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法定代表人</w:t>
      </w:r>
    </w:p>
    <w:p w14:paraId="0A9B980C">
      <w:pPr>
        <w:pStyle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或授权代表人：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或授权代表人：</w:t>
      </w:r>
      <w:r>
        <w:rPr>
          <w:rFonts w:hint="eastAsia" w:ascii="宋体" w:hAnsi="宋体" w:eastAsia="宋体" w:cs="宋体"/>
          <w:color w:val="auto"/>
          <w:sz w:val="24"/>
          <w:szCs w:val="24"/>
          <w:u w:val="single"/>
          <w:lang w:val="en-US" w:eastAsia="zh-CN"/>
        </w:rPr>
        <w:t xml:space="preserve">              </w:t>
      </w:r>
    </w:p>
    <w:p w14:paraId="1B3ABAA8">
      <w:pPr>
        <w:rPr>
          <w:rFonts w:hint="eastAsia" w:ascii="宋体" w:hAnsi="宋体" w:eastAsia="宋体" w:cs="宋体"/>
          <w:color w:val="auto"/>
          <w:sz w:val="24"/>
          <w:szCs w:val="24"/>
          <w:lang w:eastAsia="zh-CN"/>
        </w:rPr>
      </w:pPr>
    </w:p>
    <w:p w14:paraId="7AB791C3">
      <w:pPr>
        <w:rPr>
          <w:rFonts w:hint="eastAsia" w:ascii="宋体" w:hAnsi="宋体" w:eastAsia="宋体" w:cs="宋体"/>
          <w:color w:val="auto"/>
          <w:sz w:val="24"/>
          <w:szCs w:val="24"/>
          <w:lang w:eastAsia="zh-CN"/>
        </w:rPr>
      </w:pPr>
    </w:p>
    <w:p w14:paraId="437B3050">
      <w:pPr>
        <w:rPr>
          <w:rFonts w:hint="eastAsia" w:ascii="宋体" w:hAnsi="宋体" w:eastAsia="宋体" w:cs="宋体"/>
          <w:lang w:val="en-US" w:eastAsia="zh-CN"/>
        </w:rPr>
      </w:pP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间：</w:t>
      </w:r>
      <w:r>
        <w:rPr>
          <w:rFonts w:hint="eastAsia" w:ascii="宋体" w:hAnsi="宋体" w:eastAsia="宋体" w:cs="宋体"/>
          <w:color w:val="auto"/>
          <w:sz w:val="24"/>
          <w:szCs w:val="24"/>
          <w:u w:val="single"/>
          <w:lang w:val="en-US" w:eastAsia="zh-CN"/>
        </w:rPr>
        <w:t xml:space="preserve">                      </w:t>
      </w:r>
    </w:p>
    <w:p w14:paraId="6CF9495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3CE98D3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6652BA02">
      <w:pPr>
        <w:pStyle w:val="2"/>
        <w:rPr>
          <w:rFonts w:hint="eastAsia"/>
        </w:rPr>
      </w:pPr>
    </w:p>
    <w:p w14:paraId="7B0F6C37">
      <w:pPr>
        <w:pStyle w:val="5"/>
        <w:adjustRightInd w:val="0"/>
        <w:snapToGrid w:val="0"/>
        <w:spacing w:line="240" w:lineRule="auto"/>
        <w:ind w:left="12"/>
        <w:jc w:val="center"/>
        <w:rPr>
          <w:rFonts w:hint="eastAsia" w:ascii="宋体" w:hAnsi="宋体" w:eastAsia="宋体" w:cs="宋体"/>
          <w:b/>
          <w:bCs/>
          <w:color w:val="auto"/>
          <w:sz w:val="30"/>
          <w:szCs w:val="30"/>
        </w:rPr>
      </w:pPr>
      <w:bookmarkStart w:id="426" w:name="_Toc27951"/>
      <w:r>
        <w:rPr>
          <w:rFonts w:hint="eastAsia" w:ascii="宋体" w:hAnsi="宋体" w:eastAsia="宋体" w:cs="宋体"/>
          <w:b/>
          <w:bCs/>
          <w:color w:val="auto"/>
          <w:sz w:val="30"/>
          <w:szCs w:val="30"/>
        </w:rPr>
        <w:t>廉洁协议书</w:t>
      </w:r>
      <w:bookmarkEnd w:id="426"/>
    </w:p>
    <w:p w14:paraId="7FEBE50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65B3176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甲方：</w:t>
      </w:r>
      <w:r>
        <w:rPr>
          <w:rFonts w:hint="eastAsia" w:ascii="宋体" w:hAnsi="宋体" w:eastAsia="宋体" w:cs="宋体"/>
          <w:color w:val="auto"/>
          <w:sz w:val="24"/>
          <w:szCs w:val="24"/>
          <w:u w:val="single"/>
        </w:rPr>
        <w:t>渭南市林业局</w:t>
      </w:r>
    </w:p>
    <w:p w14:paraId="39F7953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lang w:val="en-US" w:eastAsia="zh-CN"/>
        </w:rPr>
        <w:t xml:space="preserve">                     </w:t>
      </w:r>
    </w:p>
    <w:p w14:paraId="1B8BA0F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2F33BC2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为了保持廉洁自律的工作作风，防止各种不正当行为的发生，保护各方的利益。根据国家廉政建设的各项规定，特订立本协议如下：</w:t>
      </w:r>
    </w:p>
    <w:p w14:paraId="1E0AAE9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一、甲乙双方应当自觉遵守国家关于廉政建设的各项规定。</w:t>
      </w:r>
    </w:p>
    <w:p w14:paraId="70FB06C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二、乙方参加验收结算审核人员如与各施工标段企业有利害关系时，应当主动回避。</w:t>
      </w:r>
    </w:p>
    <w:p w14:paraId="467E29C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三、乙方参加验收结算审核人员不得以验收结算审核中发现的问题要挟各施工标段企业，不准接受各施工标段企业任何形式的馈赠。</w:t>
      </w:r>
    </w:p>
    <w:p w14:paraId="5A29E3F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四、乙方参加验收结算审核人员不得利用执业之便在各施工标段企业报销应由个人支付的各种费用。</w:t>
      </w:r>
    </w:p>
    <w:p w14:paraId="1D0C91E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五、乙方参加验收结算审核人员不得利用执业之便为各施工标段企业隐瞒依法查出的违纪违法问题。</w:t>
      </w:r>
    </w:p>
    <w:p w14:paraId="242CED2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六、乙方接受甲方的管理和监督。</w:t>
      </w:r>
    </w:p>
    <w:p w14:paraId="5BA63F5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七、本协议一式陆份，甲乙双方各持叁份，甲乙双方法定代</w:t>
      </w:r>
      <w:r>
        <w:rPr>
          <w:rFonts w:hint="eastAsia" w:ascii="宋体" w:hAnsi="宋体" w:eastAsia="宋体" w:cs="宋体"/>
          <w:color w:val="auto"/>
          <w:sz w:val="24"/>
          <w:szCs w:val="24"/>
          <w:lang w:eastAsia="zh-CN"/>
        </w:rPr>
        <w:t>表人或授权代表人签字并加盖单位公章后有效。</w:t>
      </w:r>
    </w:p>
    <w:p w14:paraId="657456F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p>
    <w:p w14:paraId="0EDF360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p>
    <w:p w14:paraId="55E8C1D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p>
    <w:p w14:paraId="076FEAF0">
      <w:pPr>
        <w:pStyle w:val="2"/>
        <w:rPr>
          <w:rFonts w:hint="eastAsia" w:ascii="宋体" w:hAnsi="宋体" w:eastAsia="宋体" w:cs="宋体"/>
          <w:lang w:eastAsia="zh-CN"/>
        </w:rPr>
      </w:pPr>
    </w:p>
    <w:p w14:paraId="3E0D1DC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法定代表人</w:t>
      </w:r>
    </w:p>
    <w:p w14:paraId="7F0DD1CC">
      <w:pPr>
        <w:pStyle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或授权代表人：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或授权代表人：</w:t>
      </w:r>
      <w:r>
        <w:rPr>
          <w:rFonts w:hint="eastAsia" w:ascii="宋体" w:hAnsi="宋体" w:eastAsia="宋体" w:cs="宋体"/>
          <w:color w:val="auto"/>
          <w:sz w:val="24"/>
          <w:szCs w:val="24"/>
          <w:u w:val="single"/>
          <w:lang w:val="en-US" w:eastAsia="zh-CN"/>
        </w:rPr>
        <w:t xml:space="preserve">              </w:t>
      </w:r>
    </w:p>
    <w:p w14:paraId="1FAFD3F2">
      <w:pPr>
        <w:rPr>
          <w:rFonts w:hint="eastAsia" w:ascii="宋体" w:hAnsi="宋体" w:eastAsia="宋体" w:cs="宋体"/>
          <w:color w:val="auto"/>
          <w:sz w:val="24"/>
          <w:szCs w:val="24"/>
          <w:lang w:eastAsia="zh-CN"/>
        </w:rPr>
      </w:pPr>
    </w:p>
    <w:p w14:paraId="429B7EDE">
      <w:pPr>
        <w:rPr>
          <w:rFonts w:hint="eastAsia" w:ascii="宋体" w:hAnsi="宋体" w:eastAsia="宋体" w:cs="宋体"/>
          <w:color w:val="auto"/>
          <w:sz w:val="24"/>
          <w:szCs w:val="24"/>
          <w:lang w:eastAsia="zh-CN"/>
        </w:rPr>
      </w:pPr>
    </w:p>
    <w:p w14:paraId="41BABC33">
      <w:pPr>
        <w:rPr>
          <w:rFonts w:hint="eastAsia" w:ascii="宋体" w:hAnsi="宋体" w:eastAsia="宋体" w:cs="宋体"/>
          <w:lang w:val="en-US" w:eastAsia="zh-CN"/>
        </w:rPr>
      </w:pP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间：</w:t>
      </w:r>
      <w:r>
        <w:rPr>
          <w:rFonts w:hint="eastAsia" w:ascii="宋体" w:hAnsi="宋体" w:eastAsia="宋体" w:cs="宋体"/>
          <w:color w:val="auto"/>
          <w:sz w:val="24"/>
          <w:szCs w:val="24"/>
          <w:u w:val="single"/>
          <w:lang w:val="en-US" w:eastAsia="zh-CN"/>
        </w:rPr>
        <w:t xml:space="preserve">                      </w:t>
      </w:r>
    </w:p>
    <w:p w14:paraId="3354999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37DFE7D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3D059257">
      <w:pPr>
        <w:pStyle w:val="2"/>
        <w:rPr>
          <w:rFonts w:hint="eastAsia" w:ascii="宋体" w:hAnsi="宋体" w:eastAsia="宋体" w:cs="宋体"/>
          <w:color w:val="auto"/>
          <w:sz w:val="24"/>
          <w:szCs w:val="24"/>
        </w:rPr>
      </w:pPr>
    </w:p>
    <w:p w14:paraId="57600423">
      <w:pPr>
        <w:pStyle w:val="5"/>
        <w:adjustRightInd w:val="0"/>
        <w:snapToGrid w:val="0"/>
        <w:spacing w:line="240" w:lineRule="auto"/>
        <w:ind w:left="12"/>
        <w:jc w:val="center"/>
        <w:rPr>
          <w:rFonts w:hint="eastAsia" w:ascii="宋体" w:hAnsi="宋体" w:eastAsia="宋体" w:cs="宋体"/>
          <w:b/>
          <w:bCs/>
          <w:color w:val="auto"/>
          <w:sz w:val="30"/>
          <w:szCs w:val="30"/>
        </w:rPr>
      </w:pPr>
      <w:bookmarkStart w:id="427" w:name="_Toc5267"/>
      <w:r>
        <w:rPr>
          <w:rFonts w:hint="eastAsia" w:ascii="宋体" w:hAnsi="宋体" w:eastAsia="宋体" w:cs="宋体"/>
          <w:b/>
          <w:bCs/>
          <w:color w:val="auto"/>
          <w:sz w:val="30"/>
          <w:szCs w:val="30"/>
        </w:rPr>
        <w:t>安全协议</w:t>
      </w:r>
      <w:bookmarkEnd w:id="427"/>
    </w:p>
    <w:p w14:paraId="246F173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甲方：</w:t>
      </w:r>
      <w:r>
        <w:rPr>
          <w:rFonts w:hint="eastAsia" w:ascii="宋体" w:hAnsi="宋体" w:eastAsia="宋体" w:cs="宋体"/>
          <w:color w:val="auto"/>
          <w:sz w:val="24"/>
          <w:szCs w:val="24"/>
          <w:u w:val="single"/>
        </w:rPr>
        <w:t>渭南市林业局</w:t>
      </w:r>
    </w:p>
    <w:p w14:paraId="2A9BD51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lang w:val="en-US" w:eastAsia="zh-CN"/>
        </w:rPr>
        <w:t xml:space="preserve">                     </w:t>
      </w:r>
    </w:p>
    <w:p w14:paraId="26D7599D">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工程名称</w:t>
      </w:r>
    </w:p>
    <w:p w14:paraId="5AC793F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陕西省渭南市渭北地区固沟保塬生态保护修复项目（2024年）验收结算审核</w:t>
      </w:r>
    </w:p>
    <w:p w14:paraId="7E241F7D">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双方安全职责</w:t>
      </w:r>
    </w:p>
    <w:p w14:paraId="48CAB36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（一）甲方安全职责</w:t>
      </w:r>
    </w:p>
    <w:p w14:paraId="54DC23E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甲方应积极协助乙方加强安全教育和培训，强化安全意识。</w:t>
      </w:r>
    </w:p>
    <w:p w14:paraId="163BC53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甲方应加强安全工作的监督，并定期进行安全检查，有权要求乙方及时改正存在问题。</w:t>
      </w:r>
    </w:p>
    <w:p w14:paraId="5C19023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（二）乙方安全职责</w:t>
      </w:r>
    </w:p>
    <w:p w14:paraId="64C7CC2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乙方应严格执行国家相关各项安全生产规定。现地验收前应进行安全教育，强化参与人员安全意识。</w:t>
      </w:r>
    </w:p>
    <w:p w14:paraId="5D87B19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乙方项目负责人须做好人员安全防范工作，并制定相应的安全防范措施。</w:t>
      </w:r>
    </w:p>
    <w:p w14:paraId="63BF693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乙方参与人员现地验收过程中应注意个人人身安全。</w:t>
      </w:r>
    </w:p>
    <w:p w14:paraId="7BA098A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乙方参与人员禁止在山林等容易发生火灾的地方野炊，用火，注意防盗、防骗等其它安全事项。</w:t>
      </w:r>
    </w:p>
    <w:p w14:paraId="4C8292E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乙方项目负责人提前了解天气情况，做好第二天安全应对措施。</w:t>
      </w:r>
    </w:p>
    <w:p w14:paraId="00F8452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乙方遵纪守法，尊重当地民风民俗，维护安定团结，如乙方自身与当地群众引起的纠纷与矛盾，其责任由乙方自行承担解决。</w:t>
      </w:r>
    </w:p>
    <w:p w14:paraId="33DBFD4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本协议一式陆份，甲乙双方各持叁份，甲乙双方法定代</w:t>
      </w:r>
      <w:r>
        <w:rPr>
          <w:rFonts w:hint="eastAsia" w:ascii="宋体" w:hAnsi="宋体" w:eastAsia="宋体" w:cs="宋体"/>
          <w:color w:val="auto"/>
          <w:sz w:val="24"/>
          <w:szCs w:val="24"/>
          <w:lang w:eastAsia="zh-CN"/>
        </w:rPr>
        <w:t>表人或授权代表人签字并加盖单位公章后有效。</w:t>
      </w:r>
    </w:p>
    <w:p w14:paraId="7AA953C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p>
    <w:p w14:paraId="02228F3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p>
    <w:p w14:paraId="08FD894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p>
    <w:p w14:paraId="41C7C5C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法定代表人</w:t>
      </w:r>
    </w:p>
    <w:p w14:paraId="45B8E033">
      <w:pPr>
        <w:pStyle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或授权代表人：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或授权代表人：</w:t>
      </w:r>
      <w:r>
        <w:rPr>
          <w:rFonts w:hint="eastAsia" w:ascii="宋体" w:hAnsi="宋体" w:eastAsia="宋体" w:cs="宋体"/>
          <w:color w:val="auto"/>
          <w:sz w:val="24"/>
          <w:szCs w:val="24"/>
          <w:u w:val="single"/>
          <w:lang w:val="en-US" w:eastAsia="zh-CN"/>
        </w:rPr>
        <w:t xml:space="preserve">              </w:t>
      </w:r>
    </w:p>
    <w:p w14:paraId="6087F931">
      <w:pPr>
        <w:rPr>
          <w:rFonts w:hint="eastAsia" w:ascii="宋体" w:hAnsi="宋体" w:eastAsia="宋体" w:cs="宋体"/>
          <w:color w:val="auto"/>
          <w:sz w:val="24"/>
          <w:szCs w:val="24"/>
          <w:lang w:eastAsia="zh-CN"/>
        </w:rPr>
      </w:pPr>
    </w:p>
    <w:p w14:paraId="63F6E0D4">
      <w:pPr>
        <w:rPr>
          <w:rFonts w:hint="eastAsia" w:ascii="宋体" w:hAnsi="宋体" w:eastAsia="宋体" w:cs="宋体"/>
          <w:color w:val="auto"/>
          <w:sz w:val="24"/>
          <w:szCs w:val="24"/>
          <w:lang w:eastAsia="zh-CN"/>
        </w:rPr>
      </w:pPr>
    </w:p>
    <w:p w14:paraId="26130441">
      <w:pP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间：</w:t>
      </w:r>
      <w:r>
        <w:rPr>
          <w:rFonts w:hint="eastAsia" w:ascii="宋体" w:hAnsi="宋体" w:eastAsia="宋体" w:cs="宋体"/>
          <w:color w:val="auto"/>
          <w:sz w:val="24"/>
          <w:szCs w:val="24"/>
          <w:u w:val="single"/>
          <w:lang w:val="en-US" w:eastAsia="zh-CN"/>
        </w:rPr>
        <w:t xml:space="preserve">                      </w:t>
      </w:r>
    </w:p>
    <w:p w14:paraId="356C0D78">
      <w:pPr>
        <w:rPr>
          <w:rFonts w:hint="eastAsia" w:ascii="宋体" w:hAnsi="宋体" w:eastAsia="宋体" w:cs="宋体"/>
        </w:rPr>
      </w:pPr>
    </w:p>
    <w:sectPr>
      <w:footerReference r:id="rId4" w:type="first"/>
      <w:footerReference r:id="rId3" w:type="default"/>
      <w:pgSz w:w="11906" w:h="16838"/>
      <w:pgMar w:top="1417" w:right="1417" w:bottom="1417" w:left="1701" w:header="851" w:footer="992" w:gutter="0"/>
      <w:pgNumType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ì.">
    <w:altName w:val="仿宋_GB2312"/>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汉仪中宋简">
    <w:altName w:val="宋体"/>
    <w:panose1 w:val="02010600000101010101"/>
    <w:charset w:val="86"/>
    <w:family w:val="auto"/>
    <w:pitch w:val="default"/>
    <w:sig w:usb0="00000000" w:usb1="00000000" w:usb2="00000002" w:usb3="00000000" w:csb0="00040000"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PMingLiU">
    <w:altName w:val="PMingLiU-ExtB"/>
    <w:panose1 w:val="02020500000000000000"/>
    <w:charset w:val="88"/>
    <w:family w:val="roman"/>
    <w:pitch w:val="default"/>
    <w:sig w:usb0="00000000" w:usb1="00000000" w:usb2="00000016" w:usb3="00000000" w:csb0="00100001" w:csb1="00000000"/>
  </w:font>
  <w:font w:name="Droid Sans Fallback">
    <w:altName w:val="宋体"/>
    <w:panose1 w:val="020B0502000000000001"/>
    <w:charset w:val="86"/>
    <w:family w:val="auto"/>
    <w:pitch w:val="default"/>
    <w:sig w:usb0="00000000" w:usb1="00000000" w:usb2="00000036" w:usb3="00000000" w:csb0="203F01FF" w:csb1="D7FF0000"/>
  </w:font>
  <w:font w:name="MS Sans Serif">
    <w:altName w:val="DejaVu Math TeX Gyre"/>
    <w:panose1 w:val="00000000000000000000"/>
    <w:charset w:val="00"/>
    <w:family w:val="swiss"/>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长城仿宋">
    <w:altName w:val="仿宋"/>
    <w:panose1 w:val="00000000000000000000"/>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汉仪中等线简">
    <w:altName w:val="宋体"/>
    <w:panose1 w:val="02010600000101010101"/>
    <w:charset w:val="86"/>
    <w:family w:val="auto"/>
    <w:pitch w:val="default"/>
    <w:sig w:usb0="00000000" w:usb1="00000000" w:usb2="00000002"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659A1">
    <w:pPr>
      <w:pStyle w:val="33"/>
      <w:rPr>
        <w:rFonts w:hint="eastAsia" w:eastAsia="等线"/>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24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14935" cy="152400"/>
                      </a:xfrm>
                      <a:prstGeom prst="rect">
                        <a:avLst/>
                      </a:prstGeom>
                      <a:noFill/>
                      <a:ln w="6350">
                        <a:noFill/>
                      </a:ln>
                      <a:effectLst/>
                    </wps:spPr>
                    <wps:txbx>
                      <w:txbxContent>
                        <w:p w14:paraId="55F4E1E2">
                          <w:pPr>
                            <w:pStyle w:val="3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pt;width:9.05pt;mso-position-horizontal:center;mso-position-horizontal-relative:margin;mso-wrap-style:none;z-index:251659264;mso-width-relative:page;mso-height-relative:page;" filled="f" stroked="f" coordsize="21600,21600" o:gfxdata="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7yycdIAAAADAQAADwAAAAAAAAABACAAAAAiAAAAZHJzL2Rvd25yZXYueG1s&#10;UEsBAhQAFAAAAAgAh07iQC1sWN03AgAAYwQAAA4AAAAAAAAAAQAgAAAAIQEAAGRycy9lMm9Eb2Mu&#10;eG1sUEsFBgAAAAAGAAYAWQEAAMoFAAAAAA==&#10;">
              <v:fill on="f" focussize="0,0"/>
              <v:stroke on="f" weight="0.5pt"/>
              <v:imagedata o:title=""/>
              <o:lock v:ext="edit" aspectratio="f"/>
              <v:textbox inset="0mm,0mm,0mm,0mm" style="mso-fit-shape-to-text:t;">
                <w:txbxContent>
                  <w:p w14:paraId="55F4E1E2">
                    <w:pPr>
                      <w:pStyle w:val="3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91103">
    <w:pPr>
      <w:pStyle w:val="3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26C5DBC">
                          <w:pPr>
                            <w:pStyle w:val="3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v:fill on="f" focussize="0,0"/>
              <v:stroke on="f" weight="0.5pt"/>
              <v:imagedata o:title=""/>
              <o:lock v:ext="edit" aspectratio="f"/>
              <v:textbox inset="0mm,0mm,0mm,0mm" style="mso-fit-shape-to-text:t;">
                <w:txbxContent>
                  <w:p w14:paraId="126C5DBC">
                    <w:pPr>
                      <w:pStyle w:val="3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numPicBullet w:numPicBulletId="1">
    <w:pict>
      <v:shape id="1" type="#_x0000_t75" style="width:15px;height:15px" o:bullet="t">
        <v:imagedata r:id="rId2" o:title=""/>
      </v:shape>
    </w:pict>
  </w:numPicBullet>
  <w:abstractNum w:abstractNumId="0">
    <w:nsid w:val="0000000E"/>
    <w:multiLevelType w:val="multilevel"/>
    <w:tmpl w:val="0000000E"/>
    <w:lvl w:ilvl="0" w:tentative="0">
      <w:start w:val="1"/>
      <w:numFmt w:val="decimal"/>
      <w:pStyle w:val="133"/>
      <w:lvlText w:val="%1）"/>
      <w:lvlJc w:val="left"/>
      <w:pPr>
        <w:ind w:left="1560" w:hanging="720"/>
      </w:pPr>
      <w:rPr>
        <w:rFonts w:hint="eastAsia"/>
        <w:snapToGrid w:val="0"/>
        <w:kern w:val="0"/>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000000F"/>
    <w:multiLevelType w:val="multilevel"/>
    <w:tmpl w:val="0000000F"/>
    <w:lvl w:ilvl="0" w:tentative="0">
      <w:start w:val="1"/>
      <w:numFmt w:val="bullet"/>
      <w:lvlText w:val=""/>
      <w:lvlPicBulletId w:val="0"/>
      <w:lvlJc w:val="left"/>
      <w:pPr>
        <w:tabs>
          <w:tab w:val="left" w:pos="840"/>
        </w:tabs>
        <w:ind w:left="840" w:hanging="420"/>
      </w:pPr>
      <w:rPr>
        <w:rFonts w:hint="default" w:ascii="Wingdings" w:hAnsi="Wingdings"/>
      </w:rPr>
    </w:lvl>
    <w:lvl w:ilvl="1" w:tentative="0">
      <w:start w:val="1"/>
      <w:numFmt w:val="bullet"/>
      <w:pStyle w:val="25"/>
      <w:lvlText w:val=""/>
      <w:lvlPicBulletId w:val="1"/>
      <w:lvlJc w:val="left"/>
      <w:pPr>
        <w:tabs>
          <w:tab w:val="left" w:pos="840"/>
        </w:tabs>
        <w:ind w:left="840" w:hanging="420"/>
      </w:pPr>
      <w:rPr>
        <w:rFonts w:hint="default" w:ascii="Symbol" w:hAnsi="Symbol"/>
        <w:color w:val="auto"/>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CEA2025"/>
    <w:multiLevelType w:val="multilevel"/>
    <w:tmpl w:val="6CEA2025"/>
    <w:lvl w:ilvl="0" w:tentative="0">
      <w:start w:val="1"/>
      <w:numFmt w:val="none"/>
      <w:pStyle w:val="242"/>
      <w:suff w:val="nothing"/>
      <w:lvlText w:val="%1"/>
      <w:lvlJc w:val="left"/>
      <w:pPr>
        <w:ind w:left="0" w:firstLine="0"/>
      </w:pPr>
      <w:rPr>
        <w:rFonts w:hint="default" w:ascii="Times New Roman" w:hAnsi="Times New Roman"/>
        <w:b/>
        <w:i w:val="0"/>
        <w:sz w:val="21"/>
      </w:rPr>
    </w:lvl>
    <w:lvl w:ilvl="1" w:tentative="0">
      <w:start w:val="1"/>
      <w:numFmt w:val="decimal"/>
      <w:pStyle w:val="243"/>
      <w:suff w:val="nothing"/>
      <w:lvlText w:val="%1%2　"/>
      <w:lvlJc w:val="left"/>
      <w:pPr>
        <w:ind w:left="315" w:firstLine="0"/>
      </w:pPr>
      <w:rPr>
        <w:rFonts w:hint="eastAsia" w:ascii="黑体" w:hAnsi="Times New Roman" w:eastAsia="黑体"/>
        <w:b w:val="0"/>
        <w:i w:val="0"/>
        <w:sz w:val="21"/>
      </w:rPr>
    </w:lvl>
    <w:lvl w:ilvl="2" w:tentative="0">
      <w:start w:val="1"/>
      <w:numFmt w:val="decimal"/>
      <w:pStyle w:val="245"/>
      <w:suff w:val="nothing"/>
      <w:lvlText w:val="%1%2.%3　"/>
      <w:lvlJc w:val="left"/>
      <w:pPr>
        <w:ind w:left="630" w:firstLine="0"/>
      </w:pPr>
      <w:rPr>
        <w:rFonts w:hint="eastAsia" w:ascii="黑体" w:hAnsi="Times New Roman" w:eastAsia="黑体"/>
        <w:b w:val="0"/>
        <w:i w:val="0"/>
        <w:sz w:val="21"/>
      </w:rPr>
    </w:lvl>
    <w:lvl w:ilvl="3" w:tentative="0">
      <w:start w:val="1"/>
      <w:numFmt w:val="decimal"/>
      <w:pStyle w:val="247"/>
      <w:suff w:val="nothing"/>
      <w:lvlText w:val="%1%2.%3.%4　"/>
      <w:lvlJc w:val="left"/>
      <w:pPr>
        <w:ind w:left="567" w:firstLine="0"/>
      </w:pPr>
      <w:rPr>
        <w:rFonts w:hint="eastAsia" w:ascii="黑体" w:hAnsi="Times New Roman" w:eastAsia="黑体"/>
        <w:b w:val="0"/>
        <w:i w:val="0"/>
        <w:sz w:val="21"/>
      </w:rPr>
    </w:lvl>
    <w:lvl w:ilvl="4" w:tentative="0">
      <w:start w:val="1"/>
      <w:numFmt w:val="decimal"/>
      <w:pStyle w:val="250"/>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pStyle w:val="251"/>
      <w:suff w:val="nothing"/>
      <w:lvlText w:val="%1%2.%3.%4.%5.%6　"/>
      <w:lvlJc w:val="left"/>
      <w:pPr>
        <w:ind w:left="0" w:firstLine="0"/>
      </w:pPr>
      <w:rPr>
        <w:rFonts w:hint="eastAsia" w:ascii="黑体" w:hAnsi="Times New Roman" w:eastAsia="黑体"/>
        <w:b w:val="0"/>
        <w:i w:val="0"/>
        <w:sz w:val="21"/>
      </w:rPr>
    </w:lvl>
    <w:lvl w:ilvl="6" w:tentative="0">
      <w:start w:val="1"/>
      <w:numFmt w:val="decimal"/>
      <w:pStyle w:val="25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76933334"/>
    <w:multiLevelType w:val="multilevel"/>
    <w:tmpl w:val="76933334"/>
    <w:lvl w:ilvl="0" w:tentative="0">
      <w:start w:val="1"/>
      <w:numFmt w:val="none"/>
      <w:pStyle w:val="249"/>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1NTc5MWMwODA5NzlhOWY0YTA4MzI2NzM4YzBkN2UifQ=="/>
  </w:docVars>
  <w:rsids>
    <w:rsidRoot w:val="00172A27"/>
    <w:rsid w:val="000056B6"/>
    <w:rsid w:val="000076EB"/>
    <w:rsid w:val="00010824"/>
    <w:rsid w:val="00011C69"/>
    <w:rsid w:val="000176DA"/>
    <w:rsid w:val="00017F4A"/>
    <w:rsid w:val="000259A8"/>
    <w:rsid w:val="0003167F"/>
    <w:rsid w:val="00031B89"/>
    <w:rsid w:val="00034A88"/>
    <w:rsid w:val="000355C3"/>
    <w:rsid w:val="00035C01"/>
    <w:rsid w:val="000360A4"/>
    <w:rsid w:val="00036272"/>
    <w:rsid w:val="00037BFA"/>
    <w:rsid w:val="000432ED"/>
    <w:rsid w:val="000439FB"/>
    <w:rsid w:val="00043EA6"/>
    <w:rsid w:val="000449A9"/>
    <w:rsid w:val="00046AFB"/>
    <w:rsid w:val="00046B1F"/>
    <w:rsid w:val="00047D64"/>
    <w:rsid w:val="000502D9"/>
    <w:rsid w:val="00051DDB"/>
    <w:rsid w:val="000524DF"/>
    <w:rsid w:val="00056106"/>
    <w:rsid w:val="00060BDF"/>
    <w:rsid w:val="00061C01"/>
    <w:rsid w:val="00063097"/>
    <w:rsid w:val="00065875"/>
    <w:rsid w:val="000737FC"/>
    <w:rsid w:val="000739EC"/>
    <w:rsid w:val="0007436A"/>
    <w:rsid w:val="000756F6"/>
    <w:rsid w:val="00075776"/>
    <w:rsid w:val="000763E5"/>
    <w:rsid w:val="00076F96"/>
    <w:rsid w:val="00081465"/>
    <w:rsid w:val="000864F6"/>
    <w:rsid w:val="00090E0B"/>
    <w:rsid w:val="00091EC9"/>
    <w:rsid w:val="0009361A"/>
    <w:rsid w:val="00093935"/>
    <w:rsid w:val="0009799D"/>
    <w:rsid w:val="000A09E0"/>
    <w:rsid w:val="000A15A6"/>
    <w:rsid w:val="000A2D28"/>
    <w:rsid w:val="000A4FE6"/>
    <w:rsid w:val="000A5CED"/>
    <w:rsid w:val="000A70C3"/>
    <w:rsid w:val="000B388D"/>
    <w:rsid w:val="000B5CCC"/>
    <w:rsid w:val="000C135C"/>
    <w:rsid w:val="000C3906"/>
    <w:rsid w:val="000C4E92"/>
    <w:rsid w:val="000C5BB6"/>
    <w:rsid w:val="000D101C"/>
    <w:rsid w:val="000D231B"/>
    <w:rsid w:val="000D4A95"/>
    <w:rsid w:val="000D6BDC"/>
    <w:rsid w:val="000D6FC3"/>
    <w:rsid w:val="000E1212"/>
    <w:rsid w:val="000E2D1B"/>
    <w:rsid w:val="000E5101"/>
    <w:rsid w:val="000E638B"/>
    <w:rsid w:val="000F0A0B"/>
    <w:rsid w:val="000F3A5B"/>
    <w:rsid w:val="001019AA"/>
    <w:rsid w:val="001027AD"/>
    <w:rsid w:val="00106BC6"/>
    <w:rsid w:val="001106F4"/>
    <w:rsid w:val="00112F6D"/>
    <w:rsid w:val="0011313B"/>
    <w:rsid w:val="0012603F"/>
    <w:rsid w:val="00130EAA"/>
    <w:rsid w:val="00130EB4"/>
    <w:rsid w:val="00133DBE"/>
    <w:rsid w:val="00134A1B"/>
    <w:rsid w:val="00134EE0"/>
    <w:rsid w:val="00136E83"/>
    <w:rsid w:val="001416A2"/>
    <w:rsid w:val="0014219F"/>
    <w:rsid w:val="00142446"/>
    <w:rsid w:val="001439B2"/>
    <w:rsid w:val="00144CC4"/>
    <w:rsid w:val="00145E81"/>
    <w:rsid w:val="001479E9"/>
    <w:rsid w:val="001500A1"/>
    <w:rsid w:val="0015108F"/>
    <w:rsid w:val="0015197C"/>
    <w:rsid w:val="0015361A"/>
    <w:rsid w:val="00153C7F"/>
    <w:rsid w:val="00153D2A"/>
    <w:rsid w:val="00156FE1"/>
    <w:rsid w:val="001618BA"/>
    <w:rsid w:val="00162B16"/>
    <w:rsid w:val="001633CE"/>
    <w:rsid w:val="00167244"/>
    <w:rsid w:val="00170E92"/>
    <w:rsid w:val="00172395"/>
    <w:rsid w:val="00172A27"/>
    <w:rsid w:val="00173C23"/>
    <w:rsid w:val="00175AAF"/>
    <w:rsid w:val="00176F4C"/>
    <w:rsid w:val="00183796"/>
    <w:rsid w:val="00184D53"/>
    <w:rsid w:val="00185079"/>
    <w:rsid w:val="00186FE1"/>
    <w:rsid w:val="00187220"/>
    <w:rsid w:val="00191595"/>
    <w:rsid w:val="00194AEF"/>
    <w:rsid w:val="00196E91"/>
    <w:rsid w:val="001A31AB"/>
    <w:rsid w:val="001A7A89"/>
    <w:rsid w:val="001B0C85"/>
    <w:rsid w:val="001B18B3"/>
    <w:rsid w:val="001B1FDC"/>
    <w:rsid w:val="001B2823"/>
    <w:rsid w:val="001B354A"/>
    <w:rsid w:val="001B3620"/>
    <w:rsid w:val="001B388E"/>
    <w:rsid w:val="001B3B0E"/>
    <w:rsid w:val="001B42E8"/>
    <w:rsid w:val="001B7144"/>
    <w:rsid w:val="001C1032"/>
    <w:rsid w:val="001C180D"/>
    <w:rsid w:val="001C3B26"/>
    <w:rsid w:val="001C53BD"/>
    <w:rsid w:val="001D0CC0"/>
    <w:rsid w:val="001D0DA4"/>
    <w:rsid w:val="001D2A08"/>
    <w:rsid w:val="001D3446"/>
    <w:rsid w:val="001D4132"/>
    <w:rsid w:val="001D5293"/>
    <w:rsid w:val="001D57E0"/>
    <w:rsid w:val="001D5A23"/>
    <w:rsid w:val="001D5FDA"/>
    <w:rsid w:val="001E0BCB"/>
    <w:rsid w:val="001E13CC"/>
    <w:rsid w:val="001E1C16"/>
    <w:rsid w:val="001E36CD"/>
    <w:rsid w:val="001E5ACA"/>
    <w:rsid w:val="001E6427"/>
    <w:rsid w:val="001E6AB9"/>
    <w:rsid w:val="001F0DF3"/>
    <w:rsid w:val="001F2DA3"/>
    <w:rsid w:val="001F642F"/>
    <w:rsid w:val="00200AA2"/>
    <w:rsid w:val="002026DC"/>
    <w:rsid w:val="00203C4C"/>
    <w:rsid w:val="002103F4"/>
    <w:rsid w:val="00210A41"/>
    <w:rsid w:val="002113F6"/>
    <w:rsid w:val="002116F7"/>
    <w:rsid w:val="0021263B"/>
    <w:rsid w:val="0021351E"/>
    <w:rsid w:val="00213CC5"/>
    <w:rsid w:val="002156D3"/>
    <w:rsid w:val="00216B28"/>
    <w:rsid w:val="00216C8E"/>
    <w:rsid w:val="00220DD5"/>
    <w:rsid w:val="00220F00"/>
    <w:rsid w:val="00221276"/>
    <w:rsid w:val="00222142"/>
    <w:rsid w:val="00222276"/>
    <w:rsid w:val="0022669C"/>
    <w:rsid w:val="0022779B"/>
    <w:rsid w:val="00231BC2"/>
    <w:rsid w:val="002329FA"/>
    <w:rsid w:val="00237812"/>
    <w:rsid w:val="00243862"/>
    <w:rsid w:val="00246479"/>
    <w:rsid w:val="00247D31"/>
    <w:rsid w:val="002527EC"/>
    <w:rsid w:val="0026051F"/>
    <w:rsid w:val="00262E9E"/>
    <w:rsid w:val="0026552B"/>
    <w:rsid w:val="002713C4"/>
    <w:rsid w:val="0027169F"/>
    <w:rsid w:val="0027314A"/>
    <w:rsid w:val="00276156"/>
    <w:rsid w:val="0028153C"/>
    <w:rsid w:val="00281B32"/>
    <w:rsid w:val="0028435C"/>
    <w:rsid w:val="00286DF9"/>
    <w:rsid w:val="00290692"/>
    <w:rsid w:val="00290B93"/>
    <w:rsid w:val="00291D23"/>
    <w:rsid w:val="00293DE8"/>
    <w:rsid w:val="0029438A"/>
    <w:rsid w:val="00294B11"/>
    <w:rsid w:val="00294F2B"/>
    <w:rsid w:val="002950CF"/>
    <w:rsid w:val="002957B2"/>
    <w:rsid w:val="002A06AB"/>
    <w:rsid w:val="002A4F2C"/>
    <w:rsid w:val="002A5A2C"/>
    <w:rsid w:val="002A6E6C"/>
    <w:rsid w:val="002B1655"/>
    <w:rsid w:val="002B1779"/>
    <w:rsid w:val="002B1CDB"/>
    <w:rsid w:val="002B28F2"/>
    <w:rsid w:val="002B390F"/>
    <w:rsid w:val="002B4604"/>
    <w:rsid w:val="002B4680"/>
    <w:rsid w:val="002B46E7"/>
    <w:rsid w:val="002B54BE"/>
    <w:rsid w:val="002B5FA1"/>
    <w:rsid w:val="002B646E"/>
    <w:rsid w:val="002B6678"/>
    <w:rsid w:val="002B67C0"/>
    <w:rsid w:val="002B68F2"/>
    <w:rsid w:val="002B7042"/>
    <w:rsid w:val="002C20D3"/>
    <w:rsid w:val="002C3133"/>
    <w:rsid w:val="002C4263"/>
    <w:rsid w:val="002C5EA9"/>
    <w:rsid w:val="002D11E3"/>
    <w:rsid w:val="002D1DB2"/>
    <w:rsid w:val="002D224B"/>
    <w:rsid w:val="002D225D"/>
    <w:rsid w:val="002D36B8"/>
    <w:rsid w:val="002D3E19"/>
    <w:rsid w:val="002E321E"/>
    <w:rsid w:val="002E32E8"/>
    <w:rsid w:val="002E4104"/>
    <w:rsid w:val="002E4832"/>
    <w:rsid w:val="002E5A17"/>
    <w:rsid w:val="002E5E98"/>
    <w:rsid w:val="002E601A"/>
    <w:rsid w:val="002F1770"/>
    <w:rsid w:val="002F2F49"/>
    <w:rsid w:val="002F2FB6"/>
    <w:rsid w:val="002F32DC"/>
    <w:rsid w:val="002F5F72"/>
    <w:rsid w:val="002F6981"/>
    <w:rsid w:val="00304929"/>
    <w:rsid w:val="00310874"/>
    <w:rsid w:val="00310A20"/>
    <w:rsid w:val="003215C7"/>
    <w:rsid w:val="0032645B"/>
    <w:rsid w:val="0032675A"/>
    <w:rsid w:val="00326D08"/>
    <w:rsid w:val="00334EF7"/>
    <w:rsid w:val="00346506"/>
    <w:rsid w:val="00355C44"/>
    <w:rsid w:val="00363FC7"/>
    <w:rsid w:val="00366A8E"/>
    <w:rsid w:val="00367444"/>
    <w:rsid w:val="003703B4"/>
    <w:rsid w:val="00371602"/>
    <w:rsid w:val="0037250B"/>
    <w:rsid w:val="00373E63"/>
    <w:rsid w:val="0037458F"/>
    <w:rsid w:val="00376231"/>
    <w:rsid w:val="003778AA"/>
    <w:rsid w:val="00380096"/>
    <w:rsid w:val="003803CD"/>
    <w:rsid w:val="003816EF"/>
    <w:rsid w:val="00383DEC"/>
    <w:rsid w:val="00385612"/>
    <w:rsid w:val="00387748"/>
    <w:rsid w:val="0039011E"/>
    <w:rsid w:val="00394350"/>
    <w:rsid w:val="003A02D7"/>
    <w:rsid w:val="003A0A59"/>
    <w:rsid w:val="003A1530"/>
    <w:rsid w:val="003A2293"/>
    <w:rsid w:val="003B63AA"/>
    <w:rsid w:val="003C1B37"/>
    <w:rsid w:val="003C2107"/>
    <w:rsid w:val="003C2B08"/>
    <w:rsid w:val="003C5F20"/>
    <w:rsid w:val="003D08D2"/>
    <w:rsid w:val="003D1432"/>
    <w:rsid w:val="003D378B"/>
    <w:rsid w:val="003D6CC0"/>
    <w:rsid w:val="003D6F83"/>
    <w:rsid w:val="003E0455"/>
    <w:rsid w:val="003E08FE"/>
    <w:rsid w:val="003E178A"/>
    <w:rsid w:val="003E37C5"/>
    <w:rsid w:val="003E6091"/>
    <w:rsid w:val="003E6268"/>
    <w:rsid w:val="003E6E76"/>
    <w:rsid w:val="003F0DEB"/>
    <w:rsid w:val="003F1C98"/>
    <w:rsid w:val="003F79DF"/>
    <w:rsid w:val="00400609"/>
    <w:rsid w:val="00402745"/>
    <w:rsid w:val="0040289E"/>
    <w:rsid w:val="004035B3"/>
    <w:rsid w:val="00404A11"/>
    <w:rsid w:val="004104E5"/>
    <w:rsid w:val="00410849"/>
    <w:rsid w:val="004219E1"/>
    <w:rsid w:val="00421C0B"/>
    <w:rsid w:val="004232D1"/>
    <w:rsid w:val="004237F8"/>
    <w:rsid w:val="004247BB"/>
    <w:rsid w:val="00424FDA"/>
    <w:rsid w:val="00424FED"/>
    <w:rsid w:val="00425851"/>
    <w:rsid w:val="00425E9F"/>
    <w:rsid w:val="004271FF"/>
    <w:rsid w:val="00427494"/>
    <w:rsid w:val="00431F84"/>
    <w:rsid w:val="0043286E"/>
    <w:rsid w:val="00432A4C"/>
    <w:rsid w:val="00433A91"/>
    <w:rsid w:val="00440EFD"/>
    <w:rsid w:val="00441077"/>
    <w:rsid w:val="004418DC"/>
    <w:rsid w:val="00441E37"/>
    <w:rsid w:val="00442A84"/>
    <w:rsid w:val="00443C15"/>
    <w:rsid w:val="00450AB9"/>
    <w:rsid w:val="0045225C"/>
    <w:rsid w:val="00453363"/>
    <w:rsid w:val="00455B7C"/>
    <w:rsid w:val="004576D3"/>
    <w:rsid w:val="00461E62"/>
    <w:rsid w:val="00462D21"/>
    <w:rsid w:val="00464592"/>
    <w:rsid w:val="00465512"/>
    <w:rsid w:val="00465B46"/>
    <w:rsid w:val="00467B48"/>
    <w:rsid w:val="004704B2"/>
    <w:rsid w:val="00471EDC"/>
    <w:rsid w:val="00480EBC"/>
    <w:rsid w:val="00485BC9"/>
    <w:rsid w:val="00485E3A"/>
    <w:rsid w:val="00494A82"/>
    <w:rsid w:val="00495FF5"/>
    <w:rsid w:val="0049618B"/>
    <w:rsid w:val="00497596"/>
    <w:rsid w:val="004A0A68"/>
    <w:rsid w:val="004A0B88"/>
    <w:rsid w:val="004A0C81"/>
    <w:rsid w:val="004A4BC1"/>
    <w:rsid w:val="004A58A7"/>
    <w:rsid w:val="004A6CB2"/>
    <w:rsid w:val="004B012C"/>
    <w:rsid w:val="004B4658"/>
    <w:rsid w:val="004B498E"/>
    <w:rsid w:val="004B631E"/>
    <w:rsid w:val="004C2993"/>
    <w:rsid w:val="004D3A80"/>
    <w:rsid w:val="004D5228"/>
    <w:rsid w:val="004E0461"/>
    <w:rsid w:val="004E069A"/>
    <w:rsid w:val="004E2323"/>
    <w:rsid w:val="004F0CD8"/>
    <w:rsid w:val="004F1C24"/>
    <w:rsid w:val="004F204B"/>
    <w:rsid w:val="004F4B90"/>
    <w:rsid w:val="00500014"/>
    <w:rsid w:val="0050046A"/>
    <w:rsid w:val="00504579"/>
    <w:rsid w:val="00504DD9"/>
    <w:rsid w:val="00505D0E"/>
    <w:rsid w:val="005104F0"/>
    <w:rsid w:val="005118AC"/>
    <w:rsid w:val="005120B4"/>
    <w:rsid w:val="00520A9F"/>
    <w:rsid w:val="00521994"/>
    <w:rsid w:val="00525A69"/>
    <w:rsid w:val="0052762D"/>
    <w:rsid w:val="00531619"/>
    <w:rsid w:val="00531E96"/>
    <w:rsid w:val="00532AB0"/>
    <w:rsid w:val="00533DBA"/>
    <w:rsid w:val="005349DD"/>
    <w:rsid w:val="00536C16"/>
    <w:rsid w:val="005414CC"/>
    <w:rsid w:val="00543323"/>
    <w:rsid w:val="00545147"/>
    <w:rsid w:val="00550BAD"/>
    <w:rsid w:val="00551E08"/>
    <w:rsid w:val="00553423"/>
    <w:rsid w:val="00562743"/>
    <w:rsid w:val="00562C82"/>
    <w:rsid w:val="00563FE2"/>
    <w:rsid w:val="005647DA"/>
    <w:rsid w:val="00572023"/>
    <w:rsid w:val="005722EB"/>
    <w:rsid w:val="00572685"/>
    <w:rsid w:val="0057296E"/>
    <w:rsid w:val="00572DA7"/>
    <w:rsid w:val="00573153"/>
    <w:rsid w:val="00573C62"/>
    <w:rsid w:val="00574517"/>
    <w:rsid w:val="00574AC0"/>
    <w:rsid w:val="0057726C"/>
    <w:rsid w:val="005807FA"/>
    <w:rsid w:val="00587844"/>
    <w:rsid w:val="00591457"/>
    <w:rsid w:val="00594BFB"/>
    <w:rsid w:val="00595257"/>
    <w:rsid w:val="005A2D00"/>
    <w:rsid w:val="005A3176"/>
    <w:rsid w:val="005A3911"/>
    <w:rsid w:val="005B0EE1"/>
    <w:rsid w:val="005B12C4"/>
    <w:rsid w:val="005B4961"/>
    <w:rsid w:val="005B50C5"/>
    <w:rsid w:val="005C05DD"/>
    <w:rsid w:val="005C1347"/>
    <w:rsid w:val="005C2FC9"/>
    <w:rsid w:val="005C32D0"/>
    <w:rsid w:val="005C5B28"/>
    <w:rsid w:val="005C75CD"/>
    <w:rsid w:val="005D0DAD"/>
    <w:rsid w:val="005D3236"/>
    <w:rsid w:val="005D391F"/>
    <w:rsid w:val="005D5C96"/>
    <w:rsid w:val="005D626C"/>
    <w:rsid w:val="005D62AF"/>
    <w:rsid w:val="005E226F"/>
    <w:rsid w:val="005E62A2"/>
    <w:rsid w:val="005E725B"/>
    <w:rsid w:val="005E7384"/>
    <w:rsid w:val="005F0F7B"/>
    <w:rsid w:val="005F2153"/>
    <w:rsid w:val="005F4513"/>
    <w:rsid w:val="005F5F4A"/>
    <w:rsid w:val="005F65DF"/>
    <w:rsid w:val="005F7683"/>
    <w:rsid w:val="00600158"/>
    <w:rsid w:val="0060375A"/>
    <w:rsid w:val="00607F0D"/>
    <w:rsid w:val="00610176"/>
    <w:rsid w:val="00614F13"/>
    <w:rsid w:val="00622B54"/>
    <w:rsid w:val="00622BD7"/>
    <w:rsid w:val="006234E1"/>
    <w:rsid w:val="00624281"/>
    <w:rsid w:val="00626319"/>
    <w:rsid w:val="0062765A"/>
    <w:rsid w:val="0063060A"/>
    <w:rsid w:val="00630C07"/>
    <w:rsid w:val="00630C0C"/>
    <w:rsid w:val="0063568B"/>
    <w:rsid w:val="00640C51"/>
    <w:rsid w:val="0064266B"/>
    <w:rsid w:val="00643C14"/>
    <w:rsid w:val="0064785E"/>
    <w:rsid w:val="00651B51"/>
    <w:rsid w:val="00651BB0"/>
    <w:rsid w:val="00654345"/>
    <w:rsid w:val="0065448D"/>
    <w:rsid w:val="006556ED"/>
    <w:rsid w:val="00655CB7"/>
    <w:rsid w:val="006561CA"/>
    <w:rsid w:val="0065724B"/>
    <w:rsid w:val="00660AD9"/>
    <w:rsid w:val="00661C43"/>
    <w:rsid w:val="00663BB2"/>
    <w:rsid w:val="00663EBE"/>
    <w:rsid w:val="00664C19"/>
    <w:rsid w:val="0066575C"/>
    <w:rsid w:val="006658AC"/>
    <w:rsid w:val="006673ED"/>
    <w:rsid w:val="00670409"/>
    <w:rsid w:val="0067503A"/>
    <w:rsid w:val="00675BB2"/>
    <w:rsid w:val="00676E46"/>
    <w:rsid w:val="006802C2"/>
    <w:rsid w:val="00682569"/>
    <w:rsid w:val="00684CC0"/>
    <w:rsid w:val="00685847"/>
    <w:rsid w:val="006859E8"/>
    <w:rsid w:val="0069050B"/>
    <w:rsid w:val="00691990"/>
    <w:rsid w:val="00693CDE"/>
    <w:rsid w:val="00694AD5"/>
    <w:rsid w:val="006A0F51"/>
    <w:rsid w:val="006A3691"/>
    <w:rsid w:val="006A414E"/>
    <w:rsid w:val="006A5F7C"/>
    <w:rsid w:val="006A6858"/>
    <w:rsid w:val="006A6E5C"/>
    <w:rsid w:val="006A7003"/>
    <w:rsid w:val="006B00F6"/>
    <w:rsid w:val="006C0DD3"/>
    <w:rsid w:val="006C20DF"/>
    <w:rsid w:val="006C3F78"/>
    <w:rsid w:val="006C6120"/>
    <w:rsid w:val="006C7DB2"/>
    <w:rsid w:val="006D02B6"/>
    <w:rsid w:val="006D042E"/>
    <w:rsid w:val="006D2517"/>
    <w:rsid w:val="006D383C"/>
    <w:rsid w:val="006D3DB9"/>
    <w:rsid w:val="006D4B08"/>
    <w:rsid w:val="006D4B9B"/>
    <w:rsid w:val="006D5E6A"/>
    <w:rsid w:val="006D5FD5"/>
    <w:rsid w:val="006D6999"/>
    <w:rsid w:val="006E165D"/>
    <w:rsid w:val="006E1A31"/>
    <w:rsid w:val="006E2CCD"/>
    <w:rsid w:val="006E4B98"/>
    <w:rsid w:val="006E4E0D"/>
    <w:rsid w:val="006E4E35"/>
    <w:rsid w:val="006E54F4"/>
    <w:rsid w:val="006E6E80"/>
    <w:rsid w:val="006E79AF"/>
    <w:rsid w:val="006F1B11"/>
    <w:rsid w:val="006F1E2E"/>
    <w:rsid w:val="006F4268"/>
    <w:rsid w:val="006F70E2"/>
    <w:rsid w:val="006F72F9"/>
    <w:rsid w:val="006F7DCD"/>
    <w:rsid w:val="0070043D"/>
    <w:rsid w:val="00705212"/>
    <w:rsid w:val="00706AC6"/>
    <w:rsid w:val="007079A5"/>
    <w:rsid w:val="007108A1"/>
    <w:rsid w:val="00711464"/>
    <w:rsid w:val="00711E82"/>
    <w:rsid w:val="00711EA4"/>
    <w:rsid w:val="007124BE"/>
    <w:rsid w:val="00715D09"/>
    <w:rsid w:val="00716957"/>
    <w:rsid w:val="00720269"/>
    <w:rsid w:val="00720275"/>
    <w:rsid w:val="007219AF"/>
    <w:rsid w:val="007247E7"/>
    <w:rsid w:val="007249D9"/>
    <w:rsid w:val="00724A04"/>
    <w:rsid w:val="0072640E"/>
    <w:rsid w:val="007310A2"/>
    <w:rsid w:val="00732604"/>
    <w:rsid w:val="00732C29"/>
    <w:rsid w:val="00734807"/>
    <w:rsid w:val="00735AA2"/>
    <w:rsid w:val="00735EA4"/>
    <w:rsid w:val="00740059"/>
    <w:rsid w:val="00740FB3"/>
    <w:rsid w:val="00742BA4"/>
    <w:rsid w:val="00743F9E"/>
    <w:rsid w:val="00744A89"/>
    <w:rsid w:val="00745687"/>
    <w:rsid w:val="00747962"/>
    <w:rsid w:val="0075070D"/>
    <w:rsid w:val="00751324"/>
    <w:rsid w:val="00752840"/>
    <w:rsid w:val="00752C78"/>
    <w:rsid w:val="00756A7B"/>
    <w:rsid w:val="007603C6"/>
    <w:rsid w:val="00762641"/>
    <w:rsid w:val="00766179"/>
    <w:rsid w:val="00767EB5"/>
    <w:rsid w:val="0077123A"/>
    <w:rsid w:val="00771475"/>
    <w:rsid w:val="00771CD0"/>
    <w:rsid w:val="00772A0F"/>
    <w:rsid w:val="00772E8F"/>
    <w:rsid w:val="0077391F"/>
    <w:rsid w:val="00774B74"/>
    <w:rsid w:val="00777AD6"/>
    <w:rsid w:val="007820A4"/>
    <w:rsid w:val="007847E9"/>
    <w:rsid w:val="00787F49"/>
    <w:rsid w:val="00790A08"/>
    <w:rsid w:val="00797C0F"/>
    <w:rsid w:val="007A4BE9"/>
    <w:rsid w:val="007A5B87"/>
    <w:rsid w:val="007A78C7"/>
    <w:rsid w:val="007B0AE4"/>
    <w:rsid w:val="007B1C0B"/>
    <w:rsid w:val="007B3285"/>
    <w:rsid w:val="007B5519"/>
    <w:rsid w:val="007B6564"/>
    <w:rsid w:val="007C0417"/>
    <w:rsid w:val="007C2A28"/>
    <w:rsid w:val="007C4C08"/>
    <w:rsid w:val="007C6A3F"/>
    <w:rsid w:val="007C7472"/>
    <w:rsid w:val="007D1FB2"/>
    <w:rsid w:val="007D2F26"/>
    <w:rsid w:val="007D7ED3"/>
    <w:rsid w:val="007E1E5B"/>
    <w:rsid w:val="007E2D8C"/>
    <w:rsid w:val="007E5E5D"/>
    <w:rsid w:val="007E5F14"/>
    <w:rsid w:val="007E71F5"/>
    <w:rsid w:val="007E73B0"/>
    <w:rsid w:val="007F4D32"/>
    <w:rsid w:val="007F59E7"/>
    <w:rsid w:val="008017AF"/>
    <w:rsid w:val="00801DEF"/>
    <w:rsid w:val="0080217E"/>
    <w:rsid w:val="008031F1"/>
    <w:rsid w:val="008038A1"/>
    <w:rsid w:val="008046AF"/>
    <w:rsid w:val="00804A4E"/>
    <w:rsid w:val="00807872"/>
    <w:rsid w:val="00817CCC"/>
    <w:rsid w:val="00820EA1"/>
    <w:rsid w:val="0082514C"/>
    <w:rsid w:val="00826B74"/>
    <w:rsid w:val="00831006"/>
    <w:rsid w:val="00832962"/>
    <w:rsid w:val="008334C2"/>
    <w:rsid w:val="008357E9"/>
    <w:rsid w:val="00835DAB"/>
    <w:rsid w:val="00840C93"/>
    <w:rsid w:val="0084304E"/>
    <w:rsid w:val="00843407"/>
    <w:rsid w:val="0084478C"/>
    <w:rsid w:val="00845769"/>
    <w:rsid w:val="0084595F"/>
    <w:rsid w:val="008542CA"/>
    <w:rsid w:val="00855B04"/>
    <w:rsid w:val="0086082D"/>
    <w:rsid w:val="00861FDE"/>
    <w:rsid w:val="008644A3"/>
    <w:rsid w:val="008644A5"/>
    <w:rsid w:val="00865539"/>
    <w:rsid w:val="00865C5E"/>
    <w:rsid w:val="00867C65"/>
    <w:rsid w:val="00872B82"/>
    <w:rsid w:val="00874426"/>
    <w:rsid w:val="008761AB"/>
    <w:rsid w:val="00881621"/>
    <w:rsid w:val="00882CB7"/>
    <w:rsid w:val="008855E4"/>
    <w:rsid w:val="008861AE"/>
    <w:rsid w:val="0088777C"/>
    <w:rsid w:val="0089060C"/>
    <w:rsid w:val="008A594E"/>
    <w:rsid w:val="008A785C"/>
    <w:rsid w:val="008B3801"/>
    <w:rsid w:val="008B4671"/>
    <w:rsid w:val="008B5C32"/>
    <w:rsid w:val="008B7216"/>
    <w:rsid w:val="008C000B"/>
    <w:rsid w:val="008C0272"/>
    <w:rsid w:val="008C0E5E"/>
    <w:rsid w:val="008C1608"/>
    <w:rsid w:val="008C3554"/>
    <w:rsid w:val="008C4E5C"/>
    <w:rsid w:val="008C633E"/>
    <w:rsid w:val="008C6F2C"/>
    <w:rsid w:val="008D1C83"/>
    <w:rsid w:val="008D37E6"/>
    <w:rsid w:val="008D47E6"/>
    <w:rsid w:val="008E1587"/>
    <w:rsid w:val="008E64B8"/>
    <w:rsid w:val="008F2A45"/>
    <w:rsid w:val="008F2B0F"/>
    <w:rsid w:val="008F42F1"/>
    <w:rsid w:val="008F5042"/>
    <w:rsid w:val="00900427"/>
    <w:rsid w:val="00900D93"/>
    <w:rsid w:val="00901464"/>
    <w:rsid w:val="00902DE7"/>
    <w:rsid w:val="00904AE8"/>
    <w:rsid w:val="00905A46"/>
    <w:rsid w:val="0091049B"/>
    <w:rsid w:val="00912229"/>
    <w:rsid w:val="0091285B"/>
    <w:rsid w:val="00913FFD"/>
    <w:rsid w:val="009152B4"/>
    <w:rsid w:val="00915E8C"/>
    <w:rsid w:val="00916511"/>
    <w:rsid w:val="00920359"/>
    <w:rsid w:val="00921008"/>
    <w:rsid w:val="00921EAB"/>
    <w:rsid w:val="00921EB2"/>
    <w:rsid w:val="009238F5"/>
    <w:rsid w:val="0093690A"/>
    <w:rsid w:val="0094145C"/>
    <w:rsid w:val="0094157C"/>
    <w:rsid w:val="00941C0A"/>
    <w:rsid w:val="00944384"/>
    <w:rsid w:val="00945555"/>
    <w:rsid w:val="0095414E"/>
    <w:rsid w:val="00954420"/>
    <w:rsid w:val="00957118"/>
    <w:rsid w:val="00957D1C"/>
    <w:rsid w:val="00961697"/>
    <w:rsid w:val="009633A0"/>
    <w:rsid w:val="00972AD9"/>
    <w:rsid w:val="00972D74"/>
    <w:rsid w:val="0097318E"/>
    <w:rsid w:val="00976425"/>
    <w:rsid w:val="009808B4"/>
    <w:rsid w:val="009864F9"/>
    <w:rsid w:val="0099054D"/>
    <w:rsid w:val="00992349"/>
    <w:rsid w:val="0099240A"/>
    <w:rsid w:val="0099268A"/>
    <w:rsid w:val="00992BED"/>
    <w:rsid w:val="00994A20"/>
    <w:rsid w:val="009954FA"/>
    <w:rsid w:val="009A00B0"/>
    <w:rsid w:val="009A5221"/>
    <w:rsid w:val="009A6223"/>
    <w:rsid w:val="009B11D3"/>
    <w:rsid w:val="009B42B8"/>
    <w:rsid w:val="009B45E1"/>
    <w:rsid w:val="009B5AAB"/>
    <w:rsid w:val="009B5D0A"/>
    <w:rsid w:val="009B5E2B"/>
    <w:rsid w:val="009C08A6"/>
    <w:rsid w:val="009C0994"/>
    <w:rsid w:val="009C339F"/>
    <w:rsid w:val="009C34F2"/>
    <w:rsid w:val="009C401D"/>
    <w:rsid w:val="009C7C3E"/>
    <w:rsid w:val="009C7FC4"/>
    <w:rsid w:val="009D12DB"/>
    <w:rsid w:val="009D1A82"/>
    <w:rsid w:val="009D1BC2"/>
    <w:rsid w:val="009D4E57"/>
    <w:rsid w:val="009E2CC8"/>
    <w:rsid w:val="009E6071"/>
    <w:rsid w:val="009E66FD"/>
    <w:rsid w:val="009E695E"/>
    <w:rsid w:val="009F19A2"/>
    <w:rsid w:val="009F56F2"/>
    <w:rsid w:val="009F7EA0"/>
    <w:rsid w:val="00A00E76"/>
    <w:rsid w:val="00A013C6"/>
    <w:rsid w:val="00A015CD"/>
    <w:rsid w:val="00A032A2"/>
    <w:rsid w:val="00A1373A"/>
    <w:rsid w:val="00A13B44"/>
    <w:rsid w:val="00A14F27"/>
    <w:rsid w:val="00A22E4D"/>
    <w:rsid w:val="00A24A81"/>
    <w:rsid w:val="00A26715"/>
    <w:rsid w:val="00A30D88"/>
    <w:rsid w:val="00A30FE3"/>
    <w:rsid w:val="00A32E49"/>
    <w:rsid w:val="00A32FE3"/>
    <w:rsid w:val="00A34F06"/>
    <w:rsid w:val="00A35BA1"/>
    <w:rsid w:val="00A36093"/>
    <w:rsid w:val="00A36F6B"/>
    <w:rsid w:val="00A37966"/>
    <w:rsid w:val="00A4310B"/>
    <w:rsid w:val="00A45ECA"/>
    <w:rsid w:val="00A47F7C"/>
    <w:rsid w:val="00A52C70"/>
    <w:rsid w:val="00A53540"/>
    <w:rsid w:val="00A53D3C"/>
    <w:rsid w:val="00A55409"/>
    <w:rsid w:val="00A556AC"/>
    <w:rsid w:val="00A60B1F"/>
    <w:rsid w:val="00A62048"/>
    <w:rsid w:val="00A627F3"/>
    <w:rsid w:val="00A720FD"/>
    <w:rsid w:val="00A7604D"/>
    <w:rsid w:val="00A77293"/>
    <w:rsid w:val="00A77387"/>
    <w:rsid w:val="00A80309"/>
    <w:rsid w:val="00A80EE8"/>
    <w:rsid w:val="00A844F5"/>
    <w:rsid w:val="00A85050"/>
    <w:rsid w:val="00A85AED"/>
    <w:rsid w:val="00A908C4"/>
    <w:rsid w:val="00A91861"/>
    <w:rsid w:val="00A92158"/>
    <w:rsid w:val="00A925AD"/>
    <w:rsid w:val="00A953A6"/>
    <w:rsid w:val="00AA24F4"/>
    <w:rsid w:val="00AB0C96"/>
    <w:rsid w:val="00AB24DD"/>
    <w:rsid w:val="00AB3A97"/>
    <w:rsid w:val="00AB3F62"/>
    <w:rsid w:val="00AB4BAF"/>
    <w:rsid w:val="00AB5D9E"/>
    <w:rsid w:val="00AB762D"/>
    <w:rsid w:val="00AB7CB0"/>
    <w:rsid w:val="00AC358B"/>
    <w:rsid w:val="00AC3C7D"/>
    <w:rsid w:val="00AC5E2A"/>
    <w:rsid w:val="00AC6835"/>
    <w:rsid w:val="00AD18FF"/>
    <w:rsid w:val="00AD2213"/>
    <w:rsid w:val="00AE5536"/>
    <w:rsid w:val="00AF0FAA"/>
    <w:rsid w:val="00AF1C97"/>
    <w:rsid w:val="00AF28CD"/>
    <w:rsid w:val="00AF3353"/>
    <w:rsid w:val="00AF3CA4"/>
    <w:rsid w:val="00AF674F"/>
    <w:rsid w:val="00AF7370"/>
    <w:rsid w:val="00B02899"/>
    <w:rsid w:val="00B02F52"/>
    <w:rsid w:val="00B061D5"/>
    <w:rsid w:val="00B07221"/>
    <w:rsid w:val="00B120C4"/>
    <w:rsid w:val="00B13749"/>
    <w:rsid w:val="00B15DFE"/>
    <w:rsid w:val="00B168B4"/>
    <w:rsid w:val="00B20110"/>
    <w:rsid w:val="00B21407"/>
    <w:rsid w:val="00B23A07"/>
    <w:rsid w:val="00B23DA3"/>
    <w:rsid w:val="00B2567A"/>
    <w:rsid w:val="00B25AA1"/>
    <w:rsid w:val="00B268AF"/>
    <w:rsid w:val="00B310FE"/>
    <w:rsid w:val="00B31F50"/>
    <w:rsid w:val="00B32028"/>
    <w:rsid w:val="00B335B1"/>
    <w:rsid w:val="00B35514"/>
    <w:rsid w:val="00B35E16"/>
    <w:rsid w:val="00B367AE"/>
    <w:rsid w:val="00B3688E"/>
    <w:rsid w:val="00B36EA2"/>
    <w:rsid w:val="00B3729D"/>
    <w:rsid w:val="00B43AA6"/>
    <w:rsid w:val="00B46D0B"/>
    <w:rsid w:val="00B479B0"/>
    <w:rsid w:val="00B47C31"/>
    <w:rsid w:val="00B5212F"/>
    <w:rsid w:val="00B52AF4"/>
    <w:rsid w:val="00B537AA"/>
    <w:rsid w:val="00B56FF2"/>
    <w:rsid w:val="00B6379E"/>
    <w:rsid w:val="00B65BA6"/>
    <w:rsid w:val="00B8179D"/>
    <w:rsid w:val="00B84903"/>
    <w:rsid w:val="00B86262"/>
    <w:rsid w:val="00B90670"/>
    <w:rsid w:val="00B92025"/>
    <w:rsid w:val="00B92482"/>
    <w:rsid w:val="00B9500F"/>
    <w:rsid w:val="00B967ED"/>
    <w:rsid w:val="00B96C04"/>
    <w:rsid w:val="00B97A30"/>
    <w:rsid w:val="00BA17CC"/>
    <w:rsid w:val="00BA29BB"/>
    <w:rsid w:val="00BA5733"/>
    <w:rsid w:val="00BA6742"/>
    <w:rsid w:val="00BA7DCB"/>
    <w:rsid w:val="00BB0A0B"/>
    <w:rsid w:val="00BC231E"/>
    <w:rsid w:val="00BC4FE1"/>
    <w:rsid w:val="00BC5F50"/>
    <w:rsid w:val="00BC6211"/>
    <w:rsid w:val="00BD2C47"/>
    <w:rsid w:val="00BD42DF"/>
    <w:rsid w:val="00BD4D76"/>
    <w:rsid w:val="00BD4E36"/>
    <w:rsid w:val="00BD763B"/>
    <w:rsid w:val="00BE0BD0"/>
    <w:rsid w:val="00BE0C40"/>
    <w:rsid w:val="00BE0CA5"/>
    <w:rsid w:val="00BE2913"/>
    <w:rsid w:val="00BE4C8A"/>
    <w:rsid w:val="00BE7899"/>
    <w:rsid w:val="00BF233E"/>
    <w:rsid w:val="00BF3293"/>
    <w:rsid w:val="00BF3315"/>
    <w:rsid w:val="00BF63A3"/>
    <w:rsid w:val="00BF6944"/>
    <w:rsid w:val="00BF69DB"/>
    <w:rsid w:val="00C00D16"/>
    <w:rsid w:val="00C01E4D"/>
    <w:rsid w:val="00C02050"/>
    <w:rsid w:val="00C02E49"/>
    <w:rsid w:val="00C053B5"/>
    <w:rsid w:val="00C05BD3"/>
    <w:rsid w:val="00C06780"/>
    <w:rsid w:val="00C06B71"/>
    <w:rsid w:val="00C12DF3"/>
    <w:rsid w:val="00C15166"/>
    <w:rsid w:val="00C17134"/>
    <w:rsid w:val="00C20ACB"/>
    <w:rsid w:val="00C22317"/>
    <w:rsid w:val="00C224CF"/>
    <w:rsid w:val="00C229F3"/>
    <w:rsid w:val="00C317CA"/>
    <w:rsid w:val="00C34B36"/>
    <w:rsid w:val="00C34CE5"/>
    <w:rsid w:val="00C362FD"/>
    <w:rsid w:val="00C40674"/>
    <w:rsid w:val="00C41AF3"/>
    <w:rsid w:val="00C45201"/>
    <w:rsid w:val="00C5104C"/>
    <w:rsid w:val="00C51A5F"/>
    <w:rsid w:val="00C53775"/>
    <w:rsid w:val="00C57033"/>
    <w:rsid w:val="00C6149A"/>
    <w:rsid w:val="00C61886"/>
    <w:rsid w:val="00C61A4D"/>
    <w:rsid w:val="00C63FF4"/>
    <w:rsid w:val="00C650C0"/>
    <w:rsid w:val="00C72612"/>
    <w:rsid w:val="00C729BC"/>
    <w:rsid w:val="00C73911"/>
    <w:rsid w:val="00C7705D"/>
    <w:rsid w:val="00C85220"/>
    <w:rsid w:val="00C90FC0"/>
    <w:rsid w:val="00C91E03"/>
    <w:rsid w:val="00C94EED"/>
    <w:rsid w:val="00C9738A"/>
    <w:rsid w:val="00CA0562"/>
    <w:rsid w:val="00CA085D"/>
    <w:rsid w:val="00CA41BD"/>
    <w:rsid w:val="00CA5206"/>
    <w:rsid w:val="00CA5B6A"/>
    <w:rsid w:val="00CA6B7F"/>
    <w:rsid w:val="00CB450A"/>
    <w:rsid w:val="00CB5439"/>
    <w:rsid w:val="00CB689E"/>
    <w:rsid w:val="00CB694A"/>
    <w:rsid w:val="00CB7BC5"/>
    <w:rsid w:val="00CC0844"/>
    <w:rsid w:val="00CC0E95"/>
    <w:rsid w:val="00CC2D24"/>
    <w:rsid w:val="00CC3041"/>
    <w:rsid w:val="00CC7806"/>
    <w:rsid w:val="00CD26A8"/>
    <w:rsid w:val="00CD369E"/>
    <w:rsid w:val="00CD3EB4"/>
    <w:rsid w:val="00CD5D7D"/>
    <w:rsid w:val="00CD68B8"/>
    <w:rsid w:val="00CD6F9F"/>
    <w:rsid w:val="00CE1EC9"/>
    <w:rsid w:val="00CE1FD8"/>
    <w:rsid w:val="00CE68B4"/>
    <w:rsid w:val="00CE768C"/>
    <w:rsid w:val="00CF0CCB"/>
    <w:rsid w:val="00CF14A8"/>
    <w:rsid w:val="00D01379"/>
    <w:rsid w:val="00D0569E"/>
    <w:rsid w:val="00D06203"/>
    <w:rsid w:val="00D068BD"/>
    <w:rsid w:val="00D068E5"/>
    <w:rsid w:val="00D101F6"/>
    <w:rsid w:val="00D1146C"/>
    <w:rsid w:val="00D15383"/>
    <w:rsid w:val="00D23560"/>
    <w:rsid w:val="00D250A4"/>
    <w:rsid w:val="00D27402"/>
    <w:rsid w:val="00D30536"/>
    <w:rsid w:val="00D30ABB"/>
    <w:rsid w:val="00D31E4B"/>
    <w:rsid w:val="00D3220D"/>
    <w:rsid w:val="00D325EA"/>
    <w:rsid w:val="00D3565A"/>
    <w:rsid w:val="00D411BC"/>
    <w:rsid w:val="00D41306"/>
    <w:rsid w:val="00D45F49"/>
    <w:rsid w:val="00D45F64"/>
    <w:rsid w:val="00D4621F"/>
    <w:rsid w:val="00D470B0"/>
    <w:rsid w:val="00D506F5"/>
    <w:rsid w:val="00D50BE2"/>
    <w:rsid w:val="00D51A3F"/>
    <w:rsid w:val="00D54273"/>
    <w:rsid w:val="00D55ADC"/>
    <w:rsid w:val="00D62DF1"/>
    <w:rsid w:val="00D62EA5"/>
    <w:rsid w:val="00D646AA"/>
    <w:rsid w:val="00D667BC"/>
    <w:rsid w:val="00D67830"/>
    <w:rsid w:val="00D71514"/>
    <w:rsid w:val="00D72228"/>
    <w:rsid w:val="00D72BB3"/>
    <w:rsid w:val="00D75CAE"/>
    <w:rsid w:val="00D761EE"/>
    <w:rsid w:val="00D829AD"/>
    <w:rsid w:val="00D83EE7"/>
    <w:rsid w:val="00D848DC"/>
    <w:rsid w:val="00D852B7"/>
    <w:rsid w:val="00D860F4"/>
    <w:rsid w:val="00D8764F"/>
    <w:rsid w:val="00D8765D"/>
    <w:rsid w:val="00D91269"/>
    <w:rsid w:val="00D92486"/>
    <w:rsid w:val="00D96F9A"/>
    <w:rsid w:val="00DA178E"/>
    <w:rsid w:val="00DA1939"/>
    <w:rsid w:val="00DA6A22"/>
    <w:rsid w:val="00DB0925"/>
    <w:rsid w:val="00DB1364"/>
    <w:rsid w:val="00DB220B"/>
    <w:rsid w:val="00DB7A77"/>
    <w:rsid w:val="00DC0934"/>
    <w:rsid w:val="00DC19F5"/>
    <w:rsid w:val="00DC244A"/>
    <w:rsid w:val="00DD10CD"/>
    <w:rsid w:val="00DD2B8D"/>
    <w:rsid w:val="00DD6D51"/>
    <w:rsid w:val="00DE0C9D"/>
    <w:rsid w:val="00DE3939"/>
    <w:rsid w:val="00DE4818"/>
    <w:rsid w:val="00DF0246"/>
    <w:rsid w:val="00DF2F86"/>
    <w:rsid w:val="00DF4D97"/>
    <w:rsid w:val="00DF6191"/>
    <w:rsid w:val="00DF780E"/>
    <w:rsid w:val="00E04115"/>
    <w:rsid w:val="00E05A25"/>
    <w:rsid w:val="00E0621F"/>
    <w:rsid w:val="00E06BE5"/>
    <w:rsid w:val="00E114E0"/>
    <w:rsid w:val="00E127EE"/>
    <w:rsid w:val="00E1663B"/>
    <w:rsid w:val="00E21620"/>
    <w:rsid w:val="00E22818"/>
    <w:rsid w:val="00E245EA"/>
    <w:rsid w:val="00E264B0"/>
    <w:rsid w:val="00E26CB6"/>
    <w:rsid w:val="00E32C0B"/>
    <w:rsid w:val="00E33989"/>
    <w:rsid w:val="00E41A7C"/>
    <w:rsid w:val="00E42196"/>
    <w:rsid w:val="00E434F5"/>
    <w:rsid w:val="00E43AA8"/>
    <w:rsid w:val="00E44511"/>
    <w:rsid w:val="00E4594E"/>
    <w:rsid w:val="00E547C7"/>
    <w:rsid w:val="00E6011D"/>
    <w:rsid w:val="00E66313"/>
    <w:rsid w:val="00E71EEB"/>
    <w:rsid w:val="00E7749B"/>
    <w:rsid w:val="00E80D1E"/>
    <w:rsid w:val="00E81B72"/>
    <w:rsid w:val="00E825C5"/>
    <w:rsid w:val="00E84918"/>
    <w:rsid w:val="00E857CF"/>
    <w:rsid w:val="00E90FA3"/>
    <w:rsid w:val="00E91137"/>
    <w:rsid w:val="00E950EE"/>
    <w:rsid w:val="00E972E9"/>
    <w:rsid w:val="00EA293F"/>
    <w:rsid w:val="00EA49D6"/>
    <w:rsid w:val="00EA4AF9"/>
    <w:rsid w:val="00EA6EFC"/>
    <w:rsid w:val="00EB0D07"/>
    <w:rsid w:val="00EB1556"/>
    <w:rsid w:val="00EB17A4"/>
    <w:rsid w:val="00EB3115"/>
    <w:rsid w:val="00EB330A"/>
    <w:rsid w:val="00EB556C"/>
    <w:rsid w:val="00EB5B56"/>
    <w:rsid w:val="00EB6E4C"/>
    <w:rsid w:val="00EB72A2"/>
    <w:rsid w:val="00EB75AB"/>
    <w:rsid w:val="00EC3107"/>
    <w:rsid w:val="00EC471C"/>
    <w:rsid w:val="00EC4AB3"/>
    <w:rsid w:val="00EC603D"/>
    <w:rsid w:val="00EC618E"/>
    <w:rsid w:val="00ED12D4"/>
    <w:rsid w:val="00ED1F4A"/>
    <w:rsid w:val="00ED4E89"/>
    <w:rsid w:val="00EE1C32"/>
    <w:rsid w:val="00EE20B7"/>
    <w:rsid w:val="00EF4226"/>
    <w:rsid w:val="00F00998"/>
    <w:rsid w:val="00F044FB"/>
    <w:rsid w:val="00F045CB"/>
    <w:rsid w:val="00F04AE7"/>
    <w:rsid w:val="00F06D26"/>
    <w:rsid w:val="00F06E17"/>
    <w:rsid w:val="00F0784F"/>
    <w:rsid w:val="00F11C6D"/>
    <w:rsid w:val="00F146CD"/>
    <w:rsid w:val="00F148E3"/>
    <w:rsid w:val="00F204B5"/>
    <w:rsid w:val="00F234D8"/>
    <w:rsid w:val="00F2464A"/>
    <w:rsid w:val="00F25E73"/>
    <w:rsid w:val="00F270CD"/>
    <w:rsid w:val="00F27191"/>
    <w:rsid w:val="00F37387"/>
    <w:rsid w:val="00F41DAF"/>
    <w:rsid w:val="00F4432F"/>
    <w:rsid w:val="00F51B64"/>
    <w:rsid w:val="00F5278D"/>
    <w:rsid w:val="00F52939"/>
    <w:rsid w:val="00F52B8C"/>
    <w:rsid w:val="00F5510F"/>
    <w:rsid w:val="00F602DF"/>
    <w:rsid w:val="00F609AD"/>
    <w:rsid w:val="00F6183C"/>
    <w:rsid w:val="00F66BED"/>
    <w:rsid w:val="00F67C33"/>
    <w:rsid w:val="00F7008C"/>
    <w:rsid w:val="00F730FF"/>
    <w:rsid w:val="00F74506"/>
    <w:rsid w:val="00F77351"/>
    <w:rsid w:val="00F80836"/>
    <w:rsid w:val="00F81A9D"/>
    <w:rsid w:val="00F83C5D"/>
    <w:rsid w:val="00F83DAA"/>
    <w:rsid w:val="00F854CB"/>
    <w:rsid w:val="00F8703A"/>
    <w:rsid w:val="00F91EFD"/>
    <w:rsid w:val="00F92E18"/>
    <w:rsid w:val="00F93C95"/>
    <w:rsid w:val="00F95CCB"/>
    <w:rsid w:val="00FA1D2C"/>
    <w:rsid w:val="00FA1F1A"/>
    <w:rsid w:val="00FA1F5C"/>
    <w:rsid w:val="00FA2237"/>
    <w:rsid w:val="00FA2C5D"/>
    <w:rsid w:val="00FA3959"/>
    <w:rsid w:val="00FA5FF9"/>
    <w:rsid w:val="00FB2D68"/>
    <w:rsid w:val="00FB49E3"/>
    <w:rsid w:val="00FB64AE"/>
    <w:rsid w:val="00FB7DA7"/>
    <w:rsid w:val="00FC122F"/>
    <w:rsid w:val="00FC2897"/>
    <w:rsid w:val="00FC3451"/>
    <w:rsid w:val="00FD2F77"/>
    <w:rsid w:val="00FD2F93"/>
    <w:rsid w:val="00FD39DD"/>
    <w:rsid w:val="00FD71F3"/>
    <w:rsid w:val="00FE07C8"/>
    <w:rsid w:val="00FE163A"/>
    <w:rsid w:val="00FE7373"/>
    <w:rsid w:val="00FF09BE"/>
    <w:rsid w:val="00FF1ECD"/>
    <w:rsid w:val="00FF3BB7"/>
    <w:rsid w:val="00FF4339"/>
    <w:rsid w:val="00FF6AE6"/>
    <w:rsid w:val="01276CE6"/>
    <w:rsid w:val="01391AF7"/>
    <w:rsid w:val="01A56820"/>
    <w:rsid w:val="01B73196"/>
    <w:rsid w:val="01DB0F21"/>
    <w:rsid w:val="01F85948"/>
    <w:rsid w:val="027D1EDC"/>
    <w:rsid w:val="02AA6F17"/>
    <w:rsid w:val="02E6429D"/>
    <w:rsid w:val="032E5AB3"/>
    <w:rsid w:val="0380752A"/>
    <w:rsid w:val="04874841"/>
    <w:rsid w:val="04AF0DC0"/>
    <w:rsid w:val="04E35F2C"/>
    <w:rsid w:val="05CA3B1B"/>
    <w:rsid w:val="05D40F8A"/>
    <w:rsid w:val="05E97CB2"/>
    <w:rsid w:val="060D6A3B"/>
    <w:rsid w:val="06193B1E"/>
    <w:rsid w:val="06383C8B"/>
    <w:rsid w:val="06C6067E"/>
    <w:rsid w:val="06DF18E2"/>
    <w:rsid w:val="0707497A"/>
    <w:rsid w:val="07394A3D"/>
    <w:rsid w:val="07416329"/>
    <w:rsid w:val="07501B9E"/>
    <w:rsid w:val="0838785B"/>
    <w:rsid w:val="087D0B78"/>
    <w:rsid w:val="0920129B"/>
    <w:rsid w:val="09823E4D"/>
    <w:rsid w:val="098852A8"/>
    <w:rsid w:val="0A4B18CE"/>
    <w:rsid w:val="0A8A4B12"/>
    <w:rsid w:val="0AC800D5"/>
    <w:rsid w:val="0AFA19A7"/>
    <w:rsid w:val="0B181252"/>
    <w:rsid w:val="0B2543AA"/>
    <w:rsid w:val="0B651CEF"/>
    <w:rsid w:val="0C275A89"/>
    <w:rsid w:val="0CBB5882"/>
    <w:rsid w:val="0D531CDF"/>
    <w:rsid w:val="0DCA3125"/>
    <w:rsid w:val="0E1A6942"/>
    <w:rsid w:val="0E416A77"/>
    <w:rsid w:val="0E5C2657"/>
    <w:rsid w:val="0EA34036"/>
    <w:rsid w:val="0EB049DF"/>
    <w:rsid w:val="0EB63F9D"/>
    <w:rsid w:val="0EBC16D5"/>
    <w:rsid w:val="0F245037"/>
    <w:rsid w:val="0F54794B"/>
    <w:rsid w:val="0F6A354E"/>
    <w:rsid w:val="0F88478D"/>
    <w:rsid w:val="0FB73DA5"/>
    <w:rsid w:val="0FDE2587"/>
    <w:rsid w:val="0FFF8B29"/>
    <w:rsid w:val="103649EC"/>
    <w:rsid w:val="10507757"/>
    <w:rsid w:val="107A1082"/>
    <w:rsid w:val="109E7189"/>
    <w:rsid w:val="10C72BB3"/>
    <w:rsid w:val="115206FB"/>
    <w:rsid w:val="11B40613"/>
    <w:rsid w:val="11BE2022"/>
    <w:rsid w:val="11D83EA2"/>
    <w:rsid w:val="122510EE"/>
    <w:rsid w:val="12405481"/>
    <w:rsid w:val="128D1331"/>
    <w:rsid w:val="12C1355D"/>
    <w:rsid w:val="12EA1EE6"/>
    <w:rsid w:val="12EF7289"/>
    <w:rsid w:val="133D7CD4"/>
    <w:rsid w:val="134D5A81"/>
    <w:rsid w:val="13BF6991"/>
    <w:rsid w:val="13F03DED"/>
    <w:rsid w:val="13F95DC4"/>
    <w:rsid w:val="142A3E2D"/>
    <w:rsid w:val="144A7973"/>
    <w:rsid w:val="14FB7DA2"/>
    <w:rsid w:val="158710F3"/>
    <w:rsid w:val="15C772F3"/>
    <w:rsid w:val="15CE4C34"/>
    <w:rsid w:val="15EB2963"/>
    <w:rsid w:val="15F0775C"/>
    <w:rsid w:val="16036691"/>
    <w:rsid w:val="160A0AD0"/>
    <w:rsid w:val="16401732"/>
    <w:rsid w:val="165B6F79"/>
    <w:rsid w:val="166E5EB0"/>
    <w:rsid w:val="16F50974"/>
    <w:rsid w:val="177A195D"/>
    <w:rsid w:val="1796169F"/>
    <w:rsid w:val="1820060E"/>
    <w:rsid w:val="18205BA9"/>
    <w:rsid w:val="18370FAA"/>
    <w:rsid w:val="18847969"/>
    <w:rsid w:val="188D7D42"/>
    <w:rsid w:val="18C45643"/>
    <w:rsid w:val="19575882"/>
    <w:rsid w:val="195E155B"/>
    <w:rsid w:val="19FE4103"/>
    <w:rsid w:val="1A0C41D1"/>
    <w:rsid w:val="1A336BE7"/>
    <w:rsid w:val="1A612D7C"/>
    <w:rsid w:val="1A807E72"/>
    <w:rsid w:val="1A8A2A47"/>
    <w:rsid w:val="1B16166A"/>
    <w:rsid w:val="1BB93E83"/>
    <w:rsid w:val="1BC644B6"/>
    <w:rsid w:val="1C613AB1"/>
    <w:rsid w:val="1C8C0466"/>
    <w:rsid w:val="1CC854C2"/>
    <w:rsid w:val="1D0121D0"/>
    <w:rsid w:val="1D5B524F"/>
    <w:rsid w:val="1D6D3522"/>
    <w:rsid w:val="1DAB5588"/>
    <w:rsid w:val="1DD72694"/>
    <w:rsid w:val="1DDE1DE9"/>
    <w:rsid w:val="1DFA7416"/>
    <w:rsid w:val="1F341024"/>
    <w:rsid w:val="1F474868"/>
    <w:rsid w:val="1F883C9F"/>
    <w:rsid w:val="1F971592"/>
    <w:rsid w:val="1FB94E27"/>
    <w:rsid w:val="1FF41576"/>
    <w:rsid w:val="20AF20C5"/>
    <w:rsid w:val="20ED7306"/>
    <w:rsid w:val="20F96916"/>
    <w:rsid w:val="210248B0"/>
    <w:rsid w:val="211106C5"/>
    <w:rsid w:val="21431785"/>
    <w:rsid w:val="219E251A"/>
    <w:rsid w:val="21C24F4B"/>
    <w:rsid w:val="22071464"/>
    <w:rsid w:val="223035C8"/>
    <w:rsid w:val="2232235C"/>
    <w:rsid w:val="23291785"/>
    <w:rsid w:val="23710488"/>
    <w:rsid w:val="2381304A"/>
    <w:rsid w:val="23BB002C"/>
    <w:rsid w:val="23C33515"/>
    <w:rsid w:val="23F1680C"/>
    <w:rsid w:val="243E15D5"/>
    <w:rsid w:val="24551238"/>
    <w:rsid w:val="248E2DBA"/>
    <w:rsid w:val="25224672"/>
    <w:rsid w:val="25250089"/>
    <w:rsid w:val="25252A8D"/>
    <w:rsid w:val="25905135"/>
    <w:rsid w:val="25A67057"/>
    <w:rsid w:val="25D54115"/>
    <w:rsid w:val="25F72F27"/>
    <w:rsid w:val="260F4C55"/>
    <w:rsid w:val="26291B1A"/>
    <w:rsid w:val="26763E6F"/>
    <w:rsid w:val="267C3983"/>
    <w:rsid w:val="26BB323C"/>
    <w:rsid w:val="26D82BDE"/>
    <w:rsid w:val="26DA00CF"/>
    <w:rsid w:val="26EB0757"/>
    <w:rsid w:val="26FE6B62"/>
    <w:rsid w:val="270101AC"/>
    <w:rsid w:val="274D71B2"/>
    <w:rsid w:val="2751147F"/>
    <w:rsid w:val="2771736C"/>
    <w:rsid w:val="279C6957"/>
    <w:rsid w:val="27D32B77"/>
    <w:rsid w:val="27DE5929"/>
    <w:rsid w:val="27E14C4C"/>
    <w:rsid w:val="286C62A1"/>
    <w:rsid w:val="28A069B8"/>
    <w:rsid w:val="28E44E54"/>
    <w:rsid w:val="28F72971"/>
    <w:rsid w:val="29D86978"/>
    <w:rsid w:val="2A3073E0"/>
    <w:rsid w:val="2AE35535"/>
    <w:rsid w:val="2B496FA3"/>
    <w:rsid w:val="2B532BFE"/>
    <w:rsid w:val="2BB024B4"/>
    <w:rsid w:val="2BC60F98"/>
    <w:rsid w:val="2BCB45F0"/>
    <w:rsid w:val="2C066A1A"/>
    <w:rsid w:val="2C0B4AE6"/>
    <w:rsid w:val="2C8165FA"/>
    <w:rsid w:val="2CAC7CBD"/>
    <w:rsid w:val="2CCC08A3"/>
    <w:rsid w:val="2CF63411"/>
    <w:rsid w:val="2D0A514C"/>
    <w:rsid w:val="2D8E75AC"/>
    <w:rsid w:val="2D9F0E35"/>
    <w:rsid w:val="2DB235BF"/>
    <w:rsid w:val="2E577392"/>
    <w:rsid w:val="2E8B1B62"/>
    <w:rsid w:val="2E970AE4"/>
    <w:rsid w:val="2EB227A5"/>
    <w:rsid w:val="2F822BAC"/>
    <w:rsid w:val="301F6139"/>
    <w:rsid w:val="30641E74"/>
    <w:rsid w:val="30810E1D"/>
    <w:rsid w:val="30F97581"/>
    <w:rsid w:val="314256C4"/>
    <w:rsid w:val="31947CF5"/>
    <w:rsid w:val="329F04E5"/>
    <w:rsid w:val="32F9755F"/>
    <w:rsid w:val="331B2806"/>
    <w:rsid w:val="333214D1"/>
    <w:rsid w:val="3370495E"/>
    <w:rsid w:val="33CC0FC6"/>
    <w:rsid w:val="33DD0EAC"/>
    <w:rsid w:val="34143D51"/>
    <w:rsid w:val="342F68D3"/>
    <w:rsid w:val="34302898"/>
    <w:rsid w:val="34387B96"/>
    <w:rsid w:val="345B460B"/>
    <w:rsid w:val="348E2B4F"/>
    <w:rsid w:val="34BB4966"/>
    <w:rsid w:val="35C97D56"/>
    <w:rsid w:val="35EE5D6B"/>
    <w:rsid w:val="3637765B"/>
    <w:rsid w:val="363A3F05"/>
    <w:rsid w:val="365311E6"/>
    <w:rsid w:val="367112A8"/>
    <w:rsid w:val="375445E4"/>
    <w:rsid w:val="376964D6"/>
    <w:rsid w:val="379C3619"/>
    <w:rsid w:val="37A55604"/>
    <w:rsid w:val="37D2098C"/>
    <w:rsid w:val="384A2F51"/>
    <w:rsid w:val="38CC73F3"/>
    <w:rsid w:val="39327F25"/>
    <w:rsid w:val="395B66C1"/>
    <w:rsid w:val="395E3B0F"/>
    <w:rsid w:val="39AE15AC"/>
    <w:rsid w:val="39E83FB4"/>
    <w:rsid w:val="3A153790"/>
    <w:rsid w:val="3A1F11A7"/>
    <w:rsid w:val="3A86575A"/>
    <w:rsid w:val="3B115AB0"/>
    <w:rsid w:val="3B341FC1"/>
    <w:rsid w:val="3B6F11E8"/>
    <w:rsid w:val="3B732683"/>
    <w:rsid w:val="3B851216"/>
    <w:rsid w:val="3BB35C43"/>
    <w:rsid w:val="3D0B4A9A"/>
    <w:rsid w:val="3D517AA3"/>
    <w:rsid w:val="3DA349DC"/>
    <w:rsid w:val="3DBA3D2D"/>
    <w:rsid w:val="3E1F11C4"/>
    <w:rsid w:val="3E3457B0"/>
    <w:rsid w:val="3E9753EA"/>
    <w:rsid w:val="3E9948D1"/>
    <w:rsid w:val="3EE41CB3"/>
    <w:rsid w:val="3F0D7B2F"/>
    <w:rsid w:val="3F43088C"/>
    <w:rsid w:val="3F5E71A0"/>
    <w:rsid w:val="3F7F3F6B"/>
    <w:rsid w:val="3FAA346A"/>
    <w:rsid w:val="3FAB317E"/>
    <w:rsid w:val="401F04C8"/>
    <w:rsid w:val="40602185"/>
    <w:rsid w:val="406D3C7A"/>
    <w:rsid w:val="408D0A8F"/>
    <w:rsid w:val="40DD4529"/>
    <w:rsid w:val="41374AF8"/>
    <w:rsid w:val="414920DE"/>
    <w:rsid w:val="41550B18"/>
    <w:rsid w:val="41E371A6"/>
    <w:rsid w:val="4206324A"/>
    <w:rsid w:val="42B01A80"/>
    <w:rsid w:val="42B540C6"/>
    <w:rsid w:val="42CD2946"/>
    <w:rsid w:val="43124DBF"/>
    <w:rsid w:val="43267EE9"/>
    <w:rsid w:val="43411BCB"/>
    <w:rsid w:val="435C4BA0"/>
    <w:rsid w:val="4373005F"/>
    <w:rsid w:val="43875D87"/>
    <w:rsid w:val="44781DAA"/>
    <w:rsid w:val="44CA357E"/>
    <w:rsid w:val="45CF460B"/>
    <w:rsid w:val="45E27E1E"/>
    <w:rsid w:val="470316C4"/>
    <w:rsid w:val="470E368E"/>
    <w:rsid w:val="47AC7367"/>
    <w:rsid w:val="47BA5BC1"/>
    <w:rsid w:val="47C7285C"/>
    <w:rsid w:val="480C69CA"/>
    <w:rsid w:val="487519F9"/>
    <w:rsid w:val="497F756E"/>
    <w:rsid w:val="4A0A5885"/>
    <w:rsid w:val="4B073A5C"/>
    <w:rsid w:val="4B44760D"/>
    <w:rsid w:val="4B5C5D27"/>
    <w:rsid w:val="4B5E326D"/>
    <w:rsid w:val="4B840ACD"/>
    <w:rsid w:val="4B8C42AD"/>
    <w:rsid w:val="4BF72474"/>
    <w:rsid w:val="4C2E5AE5"/>
    <w:rsid w:val="4C4F0B45"/>
    <w:rsid w:val="4C8713F8"/>
    <w:rsid w:val="4DA969FC"/>
    <w:rsid w:val="4DB73FDD"/>
    <w:rsid w:val="4F066320"/>
    <w:rsid w:val="4F0C4606"/>
    <w:rsid w:val="4F4E6EBF"/>
    <w:rsid w:val="4F7D4C71"/>
    <w:rsid w:val="4FCA7073"/>
    <w:rsid w:val="4FE259E9"/>
    <w:rsid w:val="501D7C2E"/>
    <w:rsid w:val="50963550"/>
    <w:rsid w:val="512C7508"/>
    <w:rsid w:val="520636D1"/>
    <w:rsid w:val="52321D93"/>
    <w:rsid w:val="52420452"/>
    <w:rsid w:val="52533FC1"/>
    <w:rsid w:val="52534C3F"/>
    <w:rsid w:val="53046A49"/>
    <w:rsid w:val="53BB70AD"/>
    <w:rsid w:val="53DA43C4"/>
    <w:rsid w:val="53E267AB"/>
    <w:rsid w:val="547E0854"/>
    <w:rsid w:val="54D02C4B"/>
    <w:rsid w:val="55112B45"/>
    <w:rsid w:val="55351206"/>
    <w:rsid w:val="55653C63"/>
    <w:rsid w:val="558F79BB"/>
    <w:rsid w:val="55A649AE"/>
    <w:rsid w:val="55D93627"/>
    <w:rsid w:val="56602AF8"/>
    <w:rsid w:val="566F4718"/>
    <w:rsid w:val="569D1848"/>
    <w:rsid w:val="56B13A64"/>
    <w:rsid w:val="56BA3AA0"/>
    <w:rsid w:val="56CF6D97"/>
    <w:rsid w:val="56D66689"/>
    <w:rsid w:val="56D80198"/>
    <w:rsid w:val="570E46A2"/>
    <w:rsid w:val="575C7CE5"/>
    <w:rsid w:val="57847C36"/>
    <w:rsid w:val="586A742C"/>
    <w:rsid w:val="5881039C"/>
    <w:rsid w:val="58C134D7"/>
    <w:rsid w:val="58C94C3F"/>
    <w:rsid w:val="591E42EB"/>
    <w:rsid w:val="592A1676"/>
    <w:rsid w:val="59E71DDE"/>
    <w:rsid w:val="5A064D2E"/>
    <w:rsid w:val="5A42186E"/>
    <w:rsid w:val="5A53496E"/>
    <w:rsid w:val="5A7756D8"/>
    <w:rsid w:val="5A96078C"/>
    <w:rsid w:val="5ABB0552"/>
    <w:rsid w:val="5AC87CD6"/>
    <w:rsid w:val="5AE85A5C"/>
    <w:rsid w:val="5B18744E"/>
    <w:rsid w:val="5B7F5595"/>
    <w:rsid w:val="5C4A2BD7"/>
    <w:rsid w:val="5CAF68F6"/>
    <w:rsid w:val="5CF84E92"/>
    <w:rsid w:val="5D213D72"/>
    <w:rsid w:val="5D63632E"/>
    <w:rsid w:val="5E2775BD"/>
    <w:rsid w:val="5E326512"/>
    <w:rsid w:val="5E504C73"/>
    <w:rsid w:val="5E985E8A"/>
    <w:rsid w:val="5EE54D87"/>
    <w:rsid w:val="5F9E400E"/>
    <w:rsid w:val="5FB455AB"/>
    <w:rsid w:val="5FD8479E"/>
    <w:rsid w:val="5FEF4FD0"/>
    <w:rsid w:val="5FF11588"/>
    <w:rsid w:val="5FF7262C"/>
    <w:rsid w:val="60585DBB"/>
    <w:rsid w:val="61394E2C"/>
    <w:rsid w:val="621C7A8F"/>
    <w:rsid w:val="62645C10"/>
    <w:rsid w:val="62F475B6"/>
    <w:rsid w:val="630C6A64"/>
    <w:rsid w:val="631F7E44"/>
    <w:rsid w:val="63376FCF"/>
    <w:rsid w:val="637C04DD"/>
    <w:rsid w:val="63964CCA"/>
    <w:rsid w:val="63B3451B"/>
    <w:rsid w:val="63E65341"/>
    <w:rsid w:val="652A2E44"/>
    <w:rsid w:val="654E4849"/>
    <w:rsid w:val="65686657"/>
    <w:rsid w:val="657DF985"/>
    <w:rsid w:val="65B80FE0"/>
    <w:rsid w:val="65BD69EB"/>
    <w:rsid w:val="664977CF"/>
    <w:rsid w:val="668B598F"/>
    <w:rsid w:val="66EC4975"/>
    <w:rsid w:val="67016B09"/>
    <w:rsid w:val="681B27B3"/>
    <w:rsid w:val="683116BC"/>
    <w:rsid w:val="684B64BC"/>
    <w:rsid w:val="688F3871"/>
    <w:rsid w:val="68DC76F5"/>
    <w:rsid w:val="68E74072"/>
    <w:rsid w:val="69173BDC"/>
    <w:rsid w:val="69BD4674"/>
    <w:rsid w:val="6A036769"/>
    <w:rsid w:val="6A325674"/>
    <w:rsid w:val="6A52291B"/>
    <w:rsid w:val="6A7B10E5"/>
    <w:rsid w:val="6A817F02"/>
    <w:rsid w:val="6B351E6F"/>
    <w:rsid w:val="6B7A4051"/>
    <w:rsid w:val="6BE14999"/>
    <w:rsid w:val="6BFB5FD1"/>
    <w:rsid w:val="6D12175F"/>
    <w:rsid w:val="6D1F5AF0"/>
    <w:rsid w:val="6E1D76E4"/>
    <w:rsid w:val="6E67178A"/>
    <w:rsid w:val="6ED54165"/>
    <w:rsid w:val="6F3657AD"/>
    <w:rsid w:val="6F974373"/>
    <w:rsid w:val="6FC74058"/>
    <w:rsid w:val="70040E87"/>
    <w:rsid w:val="704871A4"/>
    <w:rsid w:val="70592DFA"/>
    <w:rsid w:val="70657CF8"/>
    <w:rsid w:val="70694F36"/>
    <w:rsid w:val="70880C5C"/>
    <w:rsid w:val="70B523D0"/>
    <w:rsid w:val="70DD3906"/>
    <w:rsid w:val="7109479F"/>
    <w:rsid w:val="719B076B"/>
    <w:rsid w:val="71DC2403"/>
    <w:rsid w:val="73393BC2"/>
    <w:rsid w:val="737B44DB"/>
    <w:rsid w:val="74262B1B"/>
    <w:rsid w:val="74A6094A"/>
    <w:rsid w:val="74CC21DF"/>
    <w:rsid w:val="74E16F35"/>
    <w:rsid w:val="75532D3D"/>
    <w:rsid w:val="758805C2"/>
    <w:rsid w:val="761F2330"/>
    <w:rsid w:val="763F26D5"/>
    <w:rsid w:val="764D0528"/>
    <w:rsid w:val="76C82F19"/>
    <w:rsid w:val="77045A49"/>
    <w:rsid w:val="77266E5A"/>
    <w:rsid w:val="77291B31"/>
    <w:rsid w:val="775C7088"/>
    <w:rsid w:val="77701354"/>
    <w:rsid w:val="77750DFA"/>
    <w:rsid w:val="77902D8C"/>
    <w:rsid w:val="779A189F"/>
    <w:rsid w:val="781F51BA"/>
    <w:rsid w:val="78494544"/>
    <w:rsid w:val="78E431C4"/>
    <w:rsid w:val="78EB4A40"/>
    <w:rsid w:val="79F944AF"/>
    <w:rsid w:val="7A2F69EB"/>
    <w:rsid w:val="7A4413F9"/>
    <w:rsid w:val="7A5711E4"/>
    <w:rsid w:val="7AEA0E27"/>
    <w:rsid w:val="7BAF6112"/>
    <w:rsid w:val="7BD75D18"/>
    <w:rsid w:val="7BEB7F5D"/>
    <w:rsid w:val="7C735E4E"/>
    <w:rsid w:val="7D071AF5"/>
    <w:rsid w:val="7D151B2C"/>
    <w:rsid w:val="7D7E7646"/>
    <w:rsid w:val="7DC26738"/>
    <w:rsid w:val="7E971EA4"/>
    <w:rsid w:val="7E972C19"/>
    <w:rsid w:val="7EBB2BFC"/>
    <w:rsid w:val="7EFE34F5"/>
    <w:rsid w:val="7F6E4E40"/>
    <w:rsid w:val="7F7E2419"/>
    <w:rsid w:val="7F856BE9"/>
    <w:rsid w:val="7FCF45C1"/>
    <w:rsid w:val="7FFDEE1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0" w:name="index 2"/>
    <w:lsdException w:uiPriority="0" w:name="index 3"/>
    <w:lsdException w:uiPriority="0" w:name="index 4"/>
    <w:lsdException w:qFormat="1" w:unhideWhenUsed="0" w:uiPriority="99" w:semiHidden="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qFormat="1" w:unhideWhenUsed="0" w:uiPriority="99"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qFormat="1" w:unhideWhenUsed="0" w:uiPriority="99" w:semiHidden="0" w:name="HTML Preformatted"/>
    <w:lsdException w:uiPriority="0" w:name="HTML Sample"/>
    <w:lsdException w:uiPriority="0" w:name="HTML Typewriter"/>
    <w:lsdException w:qFormat="1" w:uiPriority="0" w:semiHidden="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link w:val="64"/>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1"/>
    <w:link w:val="65"/>
    <w:qFormat/>
    <w:uiPriority w:val="99"/>
    <w:pPr>
      <w:spacing w:before="260" w:after="260" w:line="416" w:lineRule="atLeast"/>
      <w:outlineLvl w:val="1"/>
    </w:pPr>
    <w:rPr>
      <w:rFonts w:ascii="Cambria" w:hAnsi="Cambria"/>
      <w:sz w:val="32"/>
      <w:szCs w:val="32"/>
    </w:rPr>
  </w:style>
  <w:style w:type="paragraph" w:styleId="5">
    <w:name w:val="heading 3"/>
    <w:basedOn w:val="1"/>
    <w:next w:val="1"/>
    <w:link w:val="66"/>
    <w:qFormat/>
    <w:uiPriority w:val="99"/>
    <w:pPr>
      <w:tabs>
        <w:tab w:val="left" w:pos="588"/>
      </w:tabs>
      <w:spacing w:line="360" w:lineRule="auto"/>
      <w:outlineLvl w:val="2"/>
    </w:pPr>
    <w:rPr>
      <w:rFonts w:ascii="Tahoma" w:hAnsi="Tahoma"/>
    </w:rPr>
  </w:style>
  <w:style w:type="paragraph" w:styleId="6">
    <w:name w:val="heading 4"/>
    <w:basedOn w:val="1"/>
    <w:next w:val="1"/>
    <w:link w:val="67"/>
    <w:qFormat/>
    <w:uiPriority w:val="99"/>
    <w:pPr>
      <w:keepNext/>
      <w:keepLines/>
      <w:adjustRightInd w:val="0"/>
      <w:snapToGrid w:val="0"/>
      <w:spacing w:beforeAutospacing="1" w:afterAutospacing="1" w:line="300" w:lineRule="auto"/>
      <w:textAlignment w:val="baseline"/>
      <w:outlineLvl w:val="3"/>
    </w:pPr>
    <w:rPr>
      <w:b/>
      <w:kern w:val="0"/>
      <w:sz w:val="24"/>
    </w:rPr>
  </w:style>
  <w:style w:type="paragraph" w:styleId="7">
    <w:name w:val="heading 5"/>
    <w:basedOn w:val="1"/>
    <w:next w:val="1"/>
    <w:link w:val="68"/>
    <w:qFormat/>
    <w:uiPriority w:val="99"/>
    <w:pPr>
      <w:keepNext/>
      <w:keepLines/>
      <w:spacing w:before="280" w:after="290" w:line="376" w:lineRule="auto"/>
      <w:ind w:left="1008" w:hanging="1008"/>
      <w:outlineLvl w:val="4"/>
    </w:pPr>
    <w:rPr>
      <w:b/>
      <w:bCs/>
      <w:sz w:val="24"/>
      <w:szCs w:val="28"/>
    </w:rPr>
  </w:style>
  <w:style w:type="paragraph" w:styleId="8">
    <w:name w:val="heading 6"/>
    <w:basedOn w:val="1"/>
    <w:next w:val="1"/>
    <w:link w:val="69"/>
    <w:qFormat/>
    <w:uiPriority w:val="99"/>
    <w:pPr>
      <w:keepNext/>
      <w:keepLines/>
      <w:spacing w:before="240" w:after="64" w:line="320" w:lineRule="auto"/>
      <w:ind w:left="1152" w:hanging="1152"/>
      <w:outlineLvl w:val="5"/>
    </w:pPr>
    <w:rPr>
      <w:rFonts w:ascii="Arial" w:hAnsi="Arial" w:eastAsia="黑体"/>
      <w:b/>
      <w:bCs/>
      <w:sz w:val="24"/>
      <w:szCs w:val="28"/>
    </w:rPr>
  </w:style>
  <w:style w:type="paragraph" w:styleId="9">
    <w:name w:val="heading 7"/>
    <w:basedOn w:val="1"/>
    <w:next w:val="1"/>
    <w:link w:val="70"/>
    <w:qFormat/>
    <w:uiPriority w:val="99"/>
    <w:pPr>
      <w:keepNext/>
      <w:keepLines/>
      <w:spacing w:before="240" w:after="64" w:line="320" w:lineRule="auto"/>
      <w:ind w:left="1296" w:hanging="1296"/>
      <w:outlineLvl w:val="6"/>
    </w:pPr>
    <w:rPr>
      <w:b/>
      <w:bCs/>
      <w:sz w:val="24"/>
      <w:szCs w:val="28"/>
    </w:rPr>
  </w:style>
  <w:style w:type="paragraph" w:styleId="10">
    <w:name w:val="heading 8"/>
    <w:basedOn w:val="1"/>
    <w:next w:val="1"/>
    <w:link w:val="71"/>
    <w:qFormat/>
    <w:uiPriority w:val="99"/>
    <w:pPr>
      <w:keepNext/>
      <w:keepLines/>
      <w:spacing w:before="240" w:after="64" w:line="320" w:lineRule="auto"/>
      <w:ind w:left="1440" w:hanging="1440"/>
      <w:outlineLvl w:val="7"/>
    </w:pPr>
    <w:rPr>
      <w:rFonts w:ascii="Arial" w:hAnsi="Arial" w:eastAsia="黑体"/>
      <w:sz w:val="24"/>
      <w:szCs w:val="28"/>
    </w:rPr>
  </w:style>
  <w:style w:type="paragraph" w:styleId="11">
    <w:name w:val="heading 9"/>
    <w:basedOn w:val="1"/>
    <w:next w:val="1"/>
    <w:link w:val="72"/>
    <w:qFormat/>
    <w:uiPriority w:val="99"/>
    <w:pPr>
      <w:keepNext/>
      <w:keepLines/>
      <w:spacing w:before="240" w:after="64" w:line="320" w:lineRule="auto"/>
      <w:ind w:left="1584" w:hanging="1584"/>
      <w:outlineLvl w:val="8"/>
    </w:pPr>
    <w:rPr>
      <w:rFonts w:ascii="Arial" w:hAnsi="Arial" w:eastAsia="黑体"/>
      <w:sz w:val="24"/>
      <w:szCs w:val="21"/>
    </w:rPr>
  </w:style>
  <w:style w:type="character" w:default="1" w:styleId="53">
    <w:name w:val="Default Paragraph Font"/>
    <w:unhideWhenUsed/>
    <w:qFormat/>
    <w:uiPriority w:val="1"/>
  </w:style>
  <w:style w:type="table" w:default="1" w:styleId="51">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80"/>
    <w:qFormat/>
    <w:uiPriority w:val="99"/>
    <w:pPr>
      <w:spacing w:line="360" w:lineRule="auto"/>
    </w:pPr>
    <w:rPr>
      <w:rFonts w:ascii="Tahoma" w:hAnsi="Tahoma"/>
    </w:rPr>
  </w:style>
  <w:style w:type="paragraph" w:styleId="12">
    <w:name w:val="toc 7"/>
    <w:basedOn w:val="1"/>
    <w:next w:val="1"/>
    <w:qFormat/>
    <w:uiPriority w:val="39"/>
    <w:pPr>
      <w:ind w:left="1050"/>
      <w:jc w:val="left"/>
    </w:pPr>
    <w:rPr>
      <w:rFonts w:ascii="等线" w:eastAsia="等线"/>
      <w:sz w:val="20"/>
      <w:szCs w:val="20"/>
    </w:rPr>
  </w:style>
  <w:style w:type="paragraph" w:styleId="13">
    <w:name w:val="Note Heading"/>
    <w:basedOn w:val="14"/>
    <w:next w:val="14"/>
    <w:link w:val="73"/>
    <w:qFormat/>
    <w:uiPriority w:val="0"/>
    <w:rPr>
      <w:rFonts w:ascii="..ì." w:eastAsia="..ì." w:cs="Times New Roman"/>
      <w:color w:val="auto"/>
      <w:szCs w:val="20"/>
    </w:rPr>
  </w:style>
  <w:style w:type="paragraph" w:customStyle="1" w:styleId="14">
    <w:name w:val="Default"/>
    <w:qFormat/>
    <w:uiPriority w:val="0"/>
    <w:pPr>
      <w:widowControl w:val="0"/>
      <w:autoSpaceDE w:val="0"/>
      <w:autoSpaceDN w:val="0"/>
      <w:adjustRightInd w:val="0"/>
    </w:pPr>
    <w:rPr>
      <w:rFonts w:ascii="宋体" w:hAnsi="Times New Roman" w:eastAsia="Arial Unicode MS" w:cs="宋体"/>
      <w:color w:val="000000"/>
      <w:sz w:val="24"/>
      <w:szCs w:val="24"/>
      <w:lang w:val="en-US" w:eastAsia="zh-CN" w:bidi="ar-SA"/>
    </w:rPr>
  </w:style>
  <w:style w:type="paragraph" w:styleId="15">
    <w:name w:val="Normal Indent"/>
    <w:basedOn w:val="1"/>
    <w:link w:val="74"/>
    <w:qFormat/>
    <w:uiPriority w:val="0"/>
    <w:pPr>
      <w:spacing w:line="360" w:lineRule="auto"/>
      <w:ind w:firstLine="200" w:firstLineChars="200"/>
    </w:pPr>
    <w:rPr>
      <w:sz w:val="24"/>
      <w:szCs w:val="20"/>
    </w:rPr>
  </w:style>
  <w:style w:type="paragraph" w:styleId="16">
    <w:name w:val="caption"/>
    <w:basedOn w:val="1"/>
    <w:next w:val="1"/>
    <w:link w:val="75"/>
    <w:qFormat/>
    <w:uiPriority w:val="0"/>
    <w:pPr>
      <w:spacing w:line="480" w:lineRule="auto"/>
    </w:pPr>
    <w:rPr>
      <w:rFonts w:ascii="华文中宋" w:eastAsia="华文中宋"/>
      <w:sz w:val="36"/>
      <w:szCs w:val="20"/>
    </w:rPr>
  </w:style>
  <w:style w:type="paragraph" w:styleId="17">
    <w:name w:val="index 5"/>
    <w:basedOn w:val="1"/>
    <w:next w:val="1"/>
    <w:qFormat/>
    <w:uiPriority w:val="99"/>
    <w:pPr>
      <w:ind w:left="800" w:leftChars="800"/>
    </w:pPr>
    <w:rPr>
      <w:rFonts w:eastAsia="宋体"/>
    </w:rPr>
  </w:style>
  <w:style w:type="paragraph" w:styleId="18">
    <w:name w:val="Document Map"/>
    <w:basedOn w:val="1"/>
    <w:link w:val="76"/>
    <w:qFormat/>
    <w:uiPriority w:val="99"/>
    <w:pPr>
      <w:spacing w:line="440" w:lineRule="exact"/>
    </w:pPr>
    <w:rPr>
      <w:rFonts w:ascii="宋体"/>
      <w:sz w:val="18"/>
      <w:szCs w:val="18"/>
    </w:rPr>
  </w:style>
  <w:style w:type="paragraph" w:styleId="19">
    <w:name w:val="toa heading"/>
    <w:basedOn w:val="1"/>
    <w:next w:val="1"/>
    <w:unhideWhenUsed/>
    <w:qFormat/>
    <w:uiPriority w:val="99"/>
    <w:pPr>
      <w:spacing w:before="120"/>
    </w:pPr>
    <w:rPr>
      <w:rFonts w:ascii="Cambria" w:hAnsi="Cambria" w:eastAsia="宋体"/>
      <w:sz w:val="24"/>
    </w:rPr>
  </w:style>
  <w:style w:type="paragraph" w:styleId="20">
    <w:name w:val="annotation text"/>
    <w:basedOn w:val="1"/>
    <w:link w:val="77"/>
    <w:qFormat/>
    <w:uiPriority w:val="0"/>
    <w:pPr>
      <w:jc w:val="left"/>
    </w:pPr>
    <w:rPr>
      <w:rFonts w:ascii="Tahoma" w:hAnsi="Tahoma"/>
    </w:rPr>
  </w:style>
  <w:style w:type="paragraph" w:styleId="21">
    <w:name w:val="Salutation"/>
    <w:basedOn w:val="14"/>
    <w:next w:val="14"/>
    <w:link w:val="78"/>
    <w:qFormat/>
    <w:uiPriority w:val="0"/>
    <w:rPr>
      <w:rFonts w:ascii="..ì." w:eastAsia="..ì." w:cs="Times New Roman"/>
      <w:color w:val="auto"/>
      <w:szCs w:val="20"/>
    </w:rPr>
  </w:style>
  <w:style w:type="paragraph" w:styleId="22">
    <w:name w:val="Body Text 3"/>
    <w:basedOn w:val="1"/>
    <w:link w:val="79"/>
    <w:qFormat/>
    <w:uiPriority w:val="99"/>
    <w:pPr>
      <w:spacing w:after="120"/>
    </w:pPr>
    <w:rPr>
      <w:rFonts w:eastAsia="宋体"/>
      <w:sz w:val="16"/>
      <w:szCs w:val="16"/>
    </w:rPr>
  </w:style>
  <w:style w:type="paragraph" w:styleId="23">
    <w:name w:val="Body Text Indent"/>
    <w:basedOn w:val="1"/>
    <w:link w:val="81"/>
    <w:qFormat/>
    <w:uiPriority w:val="99"/>
    <w:pPr>
      <w:widowControl/>
      <w:spacing w:line="360" w:lineRule="auto"/>
      <w:ind w:firstLine="709"/>
      <w:jc w:val="left"/>
    </w:pPr>
    <w:rPr>
      <w:rFonts w:ascii="Tahoma" w:hAnsi="Tahoma"/>
    </w:rPr>
  </w:style>
  <w:style w:type="paragraph" w:styleId="24">
    <w:name w:val="Block Text"/>
    <w:basedOn w:val="1"/>
    <w:qFormat/>
    <w:uiPriority w:val="99"/>
    <w:pPr>
      <w:spacing w:line="360" w:lineRule="auto"/>
      <w:ind w:left="357" w:leftChars="170" w:right="25" w:rightChars="12" w:firstLine="1"/>
    </w:pPr>
    <w:rPr>
      <w:rFonts w:ascii="宋体" w:hAnsi="宋体" w:eastAsia="宋体" w:cs="Arial"/>
      <w:sz w:val="24"/>
      <w:szCs w:val="20"/>
    </w:rPr>
  </w:style>
  <w:style w:type="paragraph" w:styleId="25">
    <w:name w:val="List Bullet 2"/>
    <w:basedOn w:val="1"/>
    <w:qFormat/>
    <w:uiPriority w:val="0"/>
    <w:pPr>
      <w:numPr>
        <w:ilvl w:val="1"/>
        <w:numId w:val="1"/>
      </w:numPr>
      <w:spacing w:line="360" w:lineRule="auto"/>
    </w:pPr>
    <w:rPr>
      <w:sz w:val="24"/>
      <w:szCs w:val="28"/>
    </w:rPr>
  </w:style>
  <w:style w:type="paragraph" w:styleId="26">
    <w:name w:val="toc 5"/>
    <w:basedOn w:val="1"/>
    <w:next w:val="1"/>
    <w:qFormat/>
    <w:uiPriority w:val="39"/>
    <w:pPr>
      <w:ind w:left="630"/>
      <w:jc w:val="left"/>
    </w:pPr>
    <w:rPr>
      <w:rFonts w:ascii="等线" w:eastAsia="等线"/>
      <w:sz w:val="20"/>
      <w:szCs w:val="20"/>
    </w:rPr>
  </w:style>
  <w:style w:type="paragraph" w:styleId="27">
    <w:name w:val="toc 3"/>
    <w:basedOn w:val="1"/>
    <w:next w:val="1"/>
    <w:qFormat/>
    <w:uiPriority w:val="39"/>
    <w:pPr>
      <w:ind w:left="210"/>
      <w:jc w:val="left"/>
    </w:pPr>
    <w:rPr>
      <w:rFonts w:ascii="等线" w:eastAsia="等线"/>
      <w:sz w:val="20"/>
      <w:szCs w:val="20"/>
    </w:rPr>
  </w:style>
  <w:style w:type="paragraph" w:styleId="28">
    <w:name w:val="Plain Text"/>
    <w:basedOn w:val="1"/>
    <w:link w:val="82"/>
    <w:qFormat/>
    <w:uiPriority w:val="0"/>
    <w:pPr>
      <w:spacing w:line="360" w:lineRule="auto"/>
    </w:pPr>
    <w:rPr>
      <w:rFonts w:ascii="宋体" w:hAnsi="Courier New"/>
      <w:szCs w:val="21"/>
    </w:rPr>
  </w:style>
  <w:style w:type="paragraph" w:styleId="29">
    <w:name w:val="toc 8"/>
    <w:basedOn w:val="1"/>
    <w:next w:val="1"/>
    <w:qFormat/>
    <w:uiPriority w:val="39"/>
    <w:pPr>
      <w:ind w:left="1260"/>
      <w:jc w:val="left"/>
    </w:pPr>
    <w:rPr>
      <w:rFonts w:ascii="等线" w:eastAsia="等线"/>
      <w:sz w:val="20"/>
      <w:szCs w:val="20"/>
    </w:rPr>
  </w:style>
  <w:style w:type="paragraph" w:styleId="30">
    <w:name w:val="Date"/>
    <w:basedOn w:val="1"/>
    <w:next w:val="1"/>
    <w:link w:val="83"/>
    <w:qFormat/>
    <w:uiPriority w:val="99"/>
    <w:pPr>
      <w:spacing w:line="360" w:lineRule="auto"/>
      <w:ind w:left="2500" w:leftChars="2500"/>
    </w:pPr>
    <w:rPr>
      <w:rFonts w:ascii="Tahoma" w:hAnsi="Tahoma"/>
    </w:rPr>
  </w:style>
  <w:style w:type="paragraph" w:styleId="31">
    <w:name w:val="Body Text Indent 2"/>
    <w:basedOn w:val="1"/>
    <w:link w:val="84"/>
    <w:qFormat/>
    <w:uiPriority w:val="99"/>
    <w:pPr>
      <w:adjustRightInd w:val="0"/>
      <w:snapToGrid w:val="0"/>
      <w:spacing w:afterLines="25" w:line="420" w:lineRule="exact"/>
      <w:ind w:left="778" w:leftChars="378"/>
    </w:pPr>
    <w:rPr>
      <w:rFonts w:eastAsia="宋体"/>
      <w:sz w:val="24"/>
      <w:szCs w:val="30"/>
    </w:rPr>
  </w:style>
  <w:style w:type="paragraph" w:styleId="32">
    <w:name w:val="Balloon Text"/>
    <w:basedOn w:val="1"/>
    <w:link w:val="85"/>
    <w:qFormat/>
    <w:uiPriority w:val="0"/>
    <w:rPr>
      <w:sz w:val="18"/>
      <w:szCs w:val="18"/>
    </w:rPr>
  </w:style>
  <w:style w:type="paragraph" w:styleId="33">
    <w:name w:val="footer"/>
    <w:basedOn w:val="1"/>
    <w:link w:val="86"/>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34">
    <w:name w:val="header"/>
    <w:basedOn w:val="1"/>
    <w:link w:val="8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paragraph" w:styleId="35">
    <w:name w:val="toc 1"/>
    <w:basedOn w:val="1"/>
    <w:next w:val="1"/>
    <w:qFormat/>
    <w:uiPriority w:val="39"/>
    <w:pPr>
      <w:spacing w:before="360"/>
      <w:jc w:val="left"/>
    </w:pPr>
    <w:rPr>
      <w:rFonts w:ascii="等线 Light" w:eastAsia="等线 Light"/>
      <w:b/>
      <w:bCs/>
      <w:caps/>
      <w:sz w:val="24"/>
    </w:rPr>
  </w:style>
  <w:style w:type="paragraph" w:styleId="36">
    <w:name w:val="toc 4"/>
    <w:basedOn w:val="1"/>
    <w:next w:val="1"/>
    <w:qFormat/>
    <w:uiPriority w:val="39"/>
    <w:pPr>
      <w:ind w:left="420"/>
      <w:jc w:val="left"/>
    </w:pPr>
    <w:rPr>
      <w:rFonts w:ascii="等线" w:eastAsia="等线"/>
      <w:sz w:val="20"/>
      <w:szCs w:val="20"/>
    </w:rPr>
  </w:style>
  <w:style w:type="paragraph" w:styleId="37">
    <w:name w:val="Subtitle"/>
    <w:basedOn w:val="1"/>
    <w:next w:val="1"/>
    <w:link w:val="309"/>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38">
    <w:name w:val="List"/>
    <w:basedOn w:val="1"/>
    <w:qFormat/>
    <w:uiPriority w:val="99"/>
    <w:pPr>
      <w:adjustRightInd w:val="0"/>
      <w:spacing w:line="360" w:lineRule="atLeast"/>
      <w:ind w:left="420" w:hanging="420"/>
      <w:jc w:val="left"/>
    </w:pPr>
    <w:rPr>
      <w:rFonts w:hint="eastAsia" w:ascii="宋体" w:eastAsia="宋体"/>
      <w:kern w:val="0"/>
      <w:sz w:val="24"/>
      <w:szCs w:val="20"/>
    </w:rPr>
  </w:style>
  <w:style w:type="paragraph" w:styleId="39">
    <w:name w:val="toc 6"/>
    <w:basedOn w:val="1"/>
    <w:next w:val="1"/>
    <w:qFormat/>
    <w:uiPriority w:val="39"/>
    <w:pPr>
      <w:ind w:left="840"/>
      <w:jc w:val="left"/>
    </w:pPr>
    <w:rPr>
      <w:rFonts w:ascii="等线" w:eastAsia="等线"/>
      <w:sz w:val="20"/>
      <w:szCs w:val="20"/>
    </w:rPr>
  </w:style>
  <w:style w:type="paragraph" w:styleId="40">
    <w:name w:val="Body Text Indent 3"/>
    <w:basedOn w:val="1"/>
    <w:link w:val="88"/>
    <w:qFormat/>
    <w:uiPriority w:val="99"/>
    <w:pPr>
      <w:spacing w:after="120"/>
      <w:ind w:left="420" w:leftChars="200"/>
    </w:pPr>
    <w:rPr>
      <w:sz w:val="16"/>
      <w:szCs w:val="16"/>
    </w:rPr>
  </w:style>
  <w:style w:type="paragraph" w:styleId="41">
    <w:name w:val="toc 2"/>
    <w:basedOn w:val="1"/>
    <w:next w:val="1"/>
    <w:qFormat/>
    <w:uiPriority w:val="39"/>
    <w:pPr>
      <w:spacing w:before="240"/>
      <w:jc w:val="left"/>
    </w:pPr>
    <w:rPr>
      <w:rFonts w:ascii="等线" w:eastAsia="等线"/>
      <w:b/>
      <w:bCs/>
      <w:sz w:val="20"/>
      <w:szCs w:val="20"/>
    </w:rPr>
  </w:style>
  <w:style w:type="paragraph" w:styleId="42">
    <w:name w:val="toc 9"/>
    <w:basedOn w:val="1"/>
    <w:next w:val="1"/>
    <w:qFormat/>
    <w:uiPriority w:val="39"/>
    <w:pPr>
      <w:ind w:left="1470"/>
      <w:jc w:val="left"/>
    </w:pPr>
    <w:rPr>
      <w:rFonts w:ascii="等线" w:eastAsia="等线"/>
      <w:sz w:val="20"/>
      <w:szCs w:val="20"/>
    </w:rPr>
  </w:style>
  <w:style w:type="paragraph" w:styleId="43">
    <w:name w:val="Body Text 2"/>
    <w:basedOn w:val="1"/>
    <w:link w:val="89"/>
    <w:qFormat/>
    <w:uiPriority w:val="99"/>
    <w:pPr>
      <w:spacing w:line="360" w:lineRule="auto"/>
      <w:ind w:right="26"/>
    </w:pPr>
    <w:rPr>
      <w:rFonts w:ascii="宋体" w:eastAsia="宋体"/>
      <w:szCs w:val="20"/>
    </w:rPr>
  </w:style>
  <w:style w:type="paragraph" w:styleId="44">
    <w:name w:val="HTML Preformatted"/>
    <w:basedOn w:val="1"/>
    <w:link w:val="9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4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6">
    <w:name w:val="index 1"/>
    <w:basedOn w:val="1"/>
    <w:next w:val="1"/>
    <w:qFormat/>
    <w:uiPriority w:val="99"/>
    <w:pPr>
      <w:spacing w:line="220" w:lineRule="exact"/>
      <w:jc w:val="center"/>
    </w:pPr>
    <w:rPr>
      <w:rFonts w:ascii="仿宋_GB2312" w:eastAsia="仿宋_GB2312"/>
      <w:szCs w:val="21"/>
    </w:rPr>
  </w:style>
  <w:style w:type="paragraph" w:styleId="47">
    <w:name w:val="Title"/>
    <w:basedOn w:val="1"/>
    <w:next w:val="1"/>
    <w:link w:val="308"/>
    <w:qFormat/>
    <w:uiPriority w:val="0"/>
    <w:pPr>
      <w:spacing w:before="240" w:after="60" w:line="440" w:lineRule="exact"/>
      <w:jc w:val="center"/>
      <w:outlineLvl w:val="0"/>
    </w:pPr>
    <w:rPr>
      <w:rFonts w:ascii="Cambria" w:hAnsi="Cambria"/>
      <w:b/>
      <w:bCs/>
      <w:sz w:val="32"/>
      <w:szCs w:val="32"/>
    </w:rPr>
  </w:style>
  <w:style w:type="paragraph" w:styleId="48">
    <w:name w:val="annotation subject"/>
    <w:basedOn w:val="20"/>
    <w:next w:val="20"/>
    <w:link w:val="92"/>
    <w:unhideWhenUsed/>
    <w:qFormat/>
    <w:uiPriority w:val="99"/>
    <w:pPr>
      <w:spacing w:line="440" w:lineRule="exact"/>
    </w:pPr>
    <w:rPr>
      <w:b/>
      <w:bCs/>
      <w:sz w:val="24"/>
      <w:szCs w:val="28"/>
    </w:rPr>
  </w:style>
  <w:style w:type="paragraph" w:styleId="49">
    <w:name w:val="Body Text First Indent"/>
    <w:basedOn w:val="2"/>
    <w:link w:val="93"/>
    <w:qFormat/>
    <w:uiPriority w:val="0"/>
    <w:pPr>
      <w:spacing w:after="120" w:line="240" w:lineRule="auto"/>
      <w:ind w:firstLine="100" w:firstLineChars="100"/>
    </w:pPr>
  </w:style>
  <w:style w:type="paragraph" w:styleId="50">
    <w:name w:val="Body Text First Indent 2"/>
    <w:basedOn w:val="1"/>
    <w:next w:val="2"/>
    <w:link w:val="94"/>
    <w:qFormat/>
    <w:uiPriority w:val="0"/>
    <w:pPr>
      <w:spacing w:after="120"/>
      <w:ind w:left="420" w:leftChars="200" w:firstLine="420" w:firstLineChars="200"/>
    </w:pPr>
    <w:rPr>
      <w:rFonts w:eastAsia="宋体"/>
    </w:rPr>
  </w:style>
  <w:style w:type="table" w:styleId="52">
    <w:name w:val="Table Grid"/>
    <w:basedOn w:val="5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4">
    <w:name w:val="Strong"/>
    <w:qFormat/>
    <w:uiPriority w:val="0"/>
  </w:style>
  <w:style w:type="character" w:styleId="55">
    <w:name w:val="page number"/>
    <w:qFormat/>
    <w:uiPriority w:val="99"/>
  </w:style>
  <w:style w:type="character" w:styleId="56">
    <w:name w:val="FollowedHyperlink"/>
    <w:unhideWhenUsed/>
    <w:qFormat/>
    <w:uiPriority w:val="99"/>
    <w:rPr>
      <w:color w:val="954F72"/>
      <w:u w:val="single"/>
    </w:rPr>
  </w:style>
  <w:style w:type="character" w:styleId="57">
    <w:name w:val="Emphasis"/>
    <w:qFormat/>
    <w:uiPriority w:val="0"/>
    <w:rPr>
      <w:i/>
      <w:iCs/>
    </w:rPr>
  </w:style>
  <w:style w:type="character" w:styleId="58">
    <w:name w:val="HTML Definition"/>
    <w:unhideWhenUsed/>
    <w:qFormat/>
    <w:uiPriority w:val="0"/>
  </w:style>
  <w:style w:type="character" w:styleId="59">
    <w:name w:val="HTML Variable"/>
    <w:unhideWhenUsed/>
    <w:qFormat/>
    <w:uiPriority w:val="0"/>
  </w:style>
  <w:style w:type="character" w:styleId="60">
    <w:name w:val="Hyperlink"/>
    <w:qFormat/>
    <w:uiPriority w:val="99"/>
    <w:rPr>
      <w:rFonts w:hint="eastAsia" w:ascii="宋体" w:hAnsi="宋体" w:eastAsia="宋体" w:cs="宋体"/>
      <w:color w:val="004A85"/>
      <w:sz w:val="12"/>
      <w:szCs w:val="12"/>
      <w:u w:val="single"/>
    </w:rPr>
  </w:style>
  <w:style w:type="character" w:styleId="61">
    <w:name w:val="HTML Code"/>
    <w:unhideWhenUsed/>
    <w:qFormat/>
    <w:uiPriority w:val="0"/>
    <w:rPr>
      <w:rFonts w:ascii="Courier New" w:hAnsi="Courier New"/>
      <w:sz w:val="20"/>
    </w:rPr>
  </w:style>
  <w:style w:type="character" w:styleId="62">
    <w:name w:val="annotation reference"/>
    <w:qFormat/>
    <w:uiPriority w:val="99"/>
    <w:rPr>
      <w:sz w:val="21"/>
      <w:szCs w:val="21"/>
    </w:rPr>
  </w:style>
  <w:style w:type="character" w:styleId="63">
    <w:name w:val="HTML Cite"/>
    <w:unhideWhenUsed/>
    <w:qFormat/>
    <w:uiPriority w:val="0"/>
  </w:style>
  <w:style w:type="character" w:customStyle="1" w:styleId="64">
    <w:name w:val="标题 1 字符"/>
    <w:link w:val="3"/>
    <w:qFormat/>
    <w:uiPriority w:val="99"/>
    <w:rPr>
      <w:rFonts w:ascii="Tahoma" w:hAnsi="Tahoma"/>
      <w:b/>
      <w:bCs/>
      <w:kern w:val="44"/>
      <w:sz w:val="24"/>
      <w:szCs w:val="44"/>
    </w:rPr>
  </w:style>
  <w:style w:type="character" w:customStyle="1" w:styleId="65">
    <w:name w:val="标题 2 字符"/>
    <w:link w:val="4"/>
    <w:qFormat/>
    <w:uiPriority w:val="0"/>
    <w:rPr>
      <w:rFonts w:ascii="Cambria" w:hAnsi="Cambria"/>
      <w:b/>
      <w:bCs/>
      <w:kern w:val="2"/>
      <w:sz w:val="32"/>
      <w:szCs w:val="32"/>
    </w:rPr>
  </w:style>
  <w:style w:type="character" w:customStyle="1" w:styleId="66">
    <w:name w:val="标题 3 字符"/>
    <w:link w:val="5"/>
    <w:qFormat/>
    <w:uiPriority w:val="99"/>
    <w:rPr>
      <w:rFonts w:ascii="Tahoma" w:hAnsi="Tahoma"/>
      <w:b/>
      <w:bCs/>
      <w:kern w:val="2"/>
      <w:sz w:val="32"/>
      <w:szCs w:val="32"/>
    </w:rPr>
  </w:style>
  <w:style w:type="character" w:customStyle="1" w:styleId="67">
    <w:name w:val="标题 4 字符"/>
    <w:link w:val="6"/>
    <w:qFormat/>
    <w:uiPriority w:val="99"/>
    <w:rPr>
      <w:b/>
      <w:sz w:val="24"/>
      <w:szCs w:val="24"/>
    </w:rPr>
  </w:style>
  <w:style w:type="character" w:customStyle="1" w:styleId="68">
    <w:name w:val="标题 5 字符"/>
    <w:link w:val="7"/>
    <w:qFormat/>
    <w:uiPriority w:val="99"/>
    <w:rPr>
      <w:b/>
      <w:bCs/>
      <w:kern w:val="2"/>
      <w:sz w:val="24"/>
      <w:szCs w:val="28"/>
    </w:rPr>
  </w:style>
  <w:style w:type="character" w:customStyle="1" w:styleId="69">
    <w:name w:val="标题 6 字符"/>
    <w:link w:val="8"/>
    <w:qFormat/>
    <w:uiPriority w:val="99"/>
    <w:rPr>
      <w:rFonts w:ascii="Arial" w:hAnsi="Arial" w:eastAsia="黑体"/>
      <w:b/>
      <w:bCs/>
      <w:kern w:val="2"/>
      <w:sz w:val="24"/>
      <w:szCs w:val="28"/>
    </w:rPr>
  </w:style>
  <w:style w:type="character" w:customStyle="1" w:styleId="70">
    <w:name w:val="标题 7 字符"/>
    <w:link w:val="9"/>
    <w:qFormat/>
    <w:uiPriority w:val="99"/>
    <w:rPr>
      <w:b/>
      <w:bCs/>
      <w:kern w:val="2"/>
      <w:sz w:val="24"/>
      <w:szCs w:val="28"/>
    </w:rPr>
  </w:style>
  <w:style w:type="character" w:customStyle="1" w:styleId="71">
    <w:name w:val="标题 8 字符"/>
    <w:link w:val="10"/>
    <w:qFormat/>
    <w:uiPriority w:val="99"/>
    <w:rPr>
      <w:rFonts w:ascii="Arial" w:hAnsi="Arial" w:eastAsia="黑体"/>
      <w:kern w:val="2"/>
      <w:sz w:val="24"/>
      <w:szCs w:val="28"/>
    </w:rPr>
  </w:style>
  <w:style w:type="character" w:customStyle="1" w:styleId="72">
    <w:name w:val="标题 9 字符"/>
    <w:link w:val="11"/>
    <w:qFormat/>
    <w:uiPriority w:val="99"/>
    <w:rPr>
      <w:rFonts w:ascii="Arial" w:hAnsi="Arial" w:eastAsia="黑体"/>
      <w:kern w:val="2"/>
      <w:sz w:val="24"/>
      <w:szCs w:val="21"/>
    </w:rPr>
  </w:style>
  <w:style w:type="character" w:customStyle="1" w:styleId="73">
    <w:name w:val="注释标题 字符"/>
    <w:link w:val="13"/>
    <w:qFormat/>
    <w:uiPriority w:val="0"/>
    <w:rPr>
      <w:rFonts w:ascii="..ì." w:hAnsi="Times New Roman" w:eastAsia="..ì." w:cs="Times New Roman"/>
      <w:sz w:val="24"/>
    </w:rPr>
  </w:style>
  <w:style w:type="character" w:customStyle="1" w:styleId="74">
    <w:name w:val="正文缩进 字符"/>
    <w:link w:val="15"/>
    <w:qFormat/>
    <w:uiPriority w:val="0"/>
    <w:rPr>
      <w:kern w:val="2"/>
      <w:sz w:val="24"/>
    </w:rPr>
  </w:style>
  <w:style w:type="character" w:customStyle="1" w:styleId="75">
    <w:name w:val="题注 字符"/>
    <w:link w:val="16"/>
    <w:qFormat/>
    <w:uiPriority w:val="0"/>
    <w:rPr>
      <w:rFonts w:ascii="华文中宋" w:eastAsia="华文中宋"/>
      <w:kern w:val="2"/>
      <w:sz w:val="36"/>
    </w:rPr>
  </w:style>
  <w:style w:type="character" w:customStyle="1" w:styleId="76">
    <w:name w:val="文档结构图 字符"/>
    <w:link w:val="18"/>
    <w:qFormat/>
    <w:uiPriority w:val="99"/>
    <w:rPr>
      <w:rFonts w:ascii="宋体"/>
      <w:kern w:val="2"/>
      <w:sz w:val="18"/>
      <w:szCs w:val="18"/>
    </w:rPr>
  </w:style>
  <w:style w:type="character" w:customStyle="1" w:styleId="77">
    <w:name w:val="批注文字 字符"/>
    <w:link w:val="20"/>
    <w:qFormat/>
    <w:uiPriority w:val="0"/>
    <w:rPr>
      <w:rFonts w:ascii="Tahoma" w:hAnsi="Tahoma"/>
      <w:kern w:val="2"/>
      <w:sz w:val="21"/>
      <w:szCs w:val="24"/>
    </w:rPr>
  </w:style>
  <w:style w:type="character" w:customStyle="1" w:styleId="78">
    <w:name w:val="称呼 字符"/>
    <w:link w:val="21"/>
    <w:qFormat/>
    <w:uiPriority w:val="0"/>
    <w:rPr>
      <w:rFonts w:ascii="..ì." w:hAnsi="Times New Roman" w:eastAsia="..ì." w:cs="Times New Roman"/>
      <w:sz w:val="24"/>
    </w:rPr>
  </w:style>
  <w:style w:type="character" w:customStyle="1" w:styleId="79">
    <w:name w:val="正文文本 3 字符"/>
    <w:link w:val="22"/>
    <w:qFormat/>
    <w:uiPriority w:val="99"/>
    <w:rPr>
      <w:rFonts w:ascii="Times New Roman" w:hAnsi="Times New Roman" w:eastAsia="宋体" w:cs="Times New Roman"/>
      <w:kern w:val="2"/>
      <w:sz w:val="16"/>
      <w:szCs w:val="16"/>
    </w:rPr>
  </w:style>
  <w:style w:type="character" w:customStyle="1" w:styleId="80">
    <w:name w:val="正文文本 字符1"/>
    <w:link w:val="2"/>
    <w:qFormat/>
    <w:uiPriority w:val="99"/>
    <w:rPr>
      <w:rFonts w:ascii="Tahoma" w:hAnsi="Tahoma"/>
      <w:kern w:val="2"/>
      <w:sz w:val="21"/>
      <w:szCs w:val="24"/>
    </w:rPr>
  </w:style>
  <w:style w:type="character" w:customStyle="1" w:styleId="81">
    <w:name w:val="正文文本缩进 字符"/>
    <w:link w:val="23"/>
    <w:qFormat/>
    <w:uiPriority w:val="99"/>
    <w:rPr>
      <w:rFonts w:ascii="Tahoma" w:hAnsi="Tahoma" w:eastAsia="Arial Unicode MS" w:cs="Times New Roman"/>
      <w:kern w:val="2"/>
      <w:sz w:val="21"/>
      <w:szCs w:val="24"/>
    </w:rPr>
  </w:style>
  <w:style w:type="character" w:customStyle="1" w:styleId="82">
    <w:name w:val="纯文本 字符"/>
    <w:link w:val="28"/>
    <w:qFormat/>
    <w:uiPriority w:val="0"/>
    <w:rPr>
      <w:rFonts w:ascii="宋体" w:hAnsi="Courier New" w:eastAsia="Arial Unicode MS" w:cs="Times New Roman"/>
      <w:kern w:val="2"/>
      <w:sz w:val="21"/>
      <w:szCs w:val="21"/>
    </w:rPr>
  </w:style>
  <w:style w:type="character" w:customStyle="1" w:styleId="83">
    <w:name w:val="日期 字符"/>
    <w:link w:val="30"/>
    <w:qFormat/>
    <w:uiPriority w:val="99"/>
    <w:rPr>
      <w:rFonts w:ascii="Tahoma" w:hAnsi="Tahoma" w:eastAsia="Arial Unicode MS" w:cs="Times New Roman"/>
      <w:kern w:val="2"/>
      <w:sz w:val="21"/>
      <w:szCs w:val="24"/>
    </w:rPr>
  </w:style>
  <w:style w:type="character" w:customStyle="1" w:styleId="84">
    <w:name w:val="正文文本缩进 2 字符"/>
    <w:link w:val="31"/>
    <w:qFormat/>
    <w:uiPriority w:val="99"/>
    <w:rPr>
      <w:rFonts w:ascii="Times New Roman" w:hAnsi="Times New Roman" w:eastAsia="宋体" w:cs="Times New Roman"/>
      <w:kern w:val="2"/>
      <w:sz w:val="24"/>
      <w:szCs w:val="30"/>
    </w:rPr>
  </w:style>
  <w:style w:type="character" w:customStyle="1" w:styleId="85">
    <w:name w:val="批注框文本 字符"/>
    <w:link w:val="32"/>
    <w:qFormat/>
    <w:uiPriority w:val="0"/>
    <w:rPr>
      <w:kern w:val="2"/>
      <w:sz w:val="18"/>
      <w:szCs w:val="18"/>
    </w:rPr>
  </w:style>
  <w:style w:type="character" w:customStyle="1" w:styleId="86">
    <w:name w:val="页脚 字符"/>
    <w:link w:val="33"/>
    <w:qFormat/>
    <w:uiPriority w:val="0"/>
    <w:rPr>
      <w:rFonts w:ascii="Tahoma" w:hAnsi="Tahoma"/>
      <w:kern w:val="2"/>
      <w:sz w:val="18"/>
      <w:szCs w:val="18"/>
    </w:rPr>
  </w:style>
  <w:style w:type="character" w:customStyle="1" w:styleId="87">
    <w:name w:val="页眉 字符"/>
    <w:link w:val="34"/>
    <w:qFormat/>
    <w:uiPriority w:val="99"/>
    <w:rPr>
      <w:rFonts w:ascii="Tahoma" w:hAnsi="Tahoma"/>
      <w:kern w:val="2"/>
      <w:sz w:val="18"/>
      <w:szCs w:val="18"/>
    </w:rPr>
  </w:style>
  <w:style w:type="character" w:customStyle="1" w:styleId="88">
    <w:name w:val="正文文本缩进 3 字符"/>
    <w:link w:val="40"/>
    <w:qFormat/>
    <w:uiPriority w:val="99"/>
    <w:rPr>
      <w:rFonts w:ascii="Times New Roman" w:hAnsi="Times New Roman" w:eastAsia="Arial Unicode MS" w:cs="Times New Roman"/>
      <w:kern w:val="2"/>
      <w:sz w:val="16"/>
      <w:szCs w:val="16"/>
    </w:rPr>
  </w:style>
  <w:style w:type="character" w:customStyle="1" w:styleId="89">
    <w:name w:val="正文文本 2 字符"/>
    <w:link w:val="43"/>
    <w:qFormat/>
    <w:uiPriority w:val="99"/>
    <w:rPr>
      <w:rFonts w:ascii="宋体" w:hAnsi="Times New Roman" w:eastAsia="宋体" w:cs="Times New Roman"/>
      <w:kern w:val="2"/>
      <w:sz w:val="21"/>
    </w:rPr>
  </w:style>
  <w:style w:type="character" w:customStyle="1" w:styleId="90">
    <w:name w:val="HTML 预设格式 字符"/>
    <w:link w:val="44"/>
    <w:qFormat/>
    <w:uiPriority w:val="0"/>
    <w:rPr>
      <w:rFonts w:ascii="黑体" w:hAnsi="Courier New" w:eastAsia="黑体"/>
    </w:rPr>
  </w:style>
  <w:style w:type="character" w:customStyle="1" w:styleId="91">
    <w:name w:val="标题 字符"/>
    <w:link w:val="47"/>
    <w:qFormat/>
    <w:uiPriority w:val="0"/>
    <w:rPr>
      <w:rFonts w:ascii="Cambria" w:hAnsi="Cambria"/>
      <w:b/>
      <w:bCs/>
      <w:kern w:val="2"/>
      <w:sz w:val="32"/>
      <w:szCs w:val="32"/>
    </w:rPr>
  </w:style>
  <w:style w:type="character" w:customStyle="1" w:styleId="92">
    <w:name w:val="批注主题 字符"/>
    <w:link w:val="48"/>
    <w:qFormat/>
    <w:uiPriority w:val="99"/>
    <w:rPr>
      <w:rFonts w:ascii="Tahoma" w:hAnsi="Tahoma"/>
      <w:b/>
      <w:bCs/>
      <w:kern w:val="2"/>
      <w:sz w:val="24"/>
      <w:szCs w:val="28"/>
    </w:rPr>
  </w:style>
  <w:style w:type="character" w:customStyle="1" w:styleId="93">
    <w:name w:val="正文文本首行缩进 字符"/>
    <w:link w:val="49"/>
    <w:qFormat/>
    <w:uiPriority w:val="0"/>
    <w:rPr>
      <w:rFonts w:ascii="Tahoma" w:hAnsi="Tahoma"/>
      <w:kern w:val="2"/>
      <w:sz w:val="21"/>
      <w:szCs w:val="24"/>
    </w:rPr>
  </w:style>
  <w:style w:type="character" w:customStyle="1" w:styleId="94">
    <w:name w:val="正文文本首行缩进 2 字符"/>
    <w:link w:val="50"/>
    <w:qFormat/>
    <w:uiPriority w:val="0"/>
    <w:rPr>
      <w:rFonts w:ascii="Times New Roman" w:hAnsi="Times New Roman" w:eastAsia="宋体" w:cs="Times New Roman"/>
      <w:kern w:val="2"/>
      <w:sz w:val="21"/>
      <w:szCs w:val="24"/>
    </w:rPr>
  </w:style>
  <w:style w:type="paragraph" w:customStyle="1" w:styleId="95">
    <w:name w:val="正文缩进1"/>
    <w:basedOn w:val="1"/>
    <w:qFormat/>
    <w:uiPriority w:val="0"/>
    <w:pPr>
      <w:ind w:firstLine="420" w:firstLineChars="200"/>
    </w:pPr>
  </w:style>
  <w:style w:type="paragraph" w:customStyle="1" w:styleId="96">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97">
    <w:name w:val="列出段落2"/>
    <w:basedOn w:val="1"/>
    <w:unhideWhenUsed/>
    <w:qFormat/>
    <w:uiPriority w:val="0"/>
    <w:pPr>
      <w:ind w:firstLine="420" w:firstLineChars="200"/>
    </w:pPr>
  </w:style>
  <w:style w:type="paragraph" w:customStyle="1" w:styleId="98">
    <w:name w:val="题头内容"/>
    <w:basedOn w:val="1"/>
    <w:qFormat/>
    <w:uiPriority w:val="0"/>
    <w:pPr>
      <w:adjustRightInd w:val="0"/>
      <w:spacing w:before="120" w:after="120" w:line="312" w:lineRule="atLeast"/>
      <w:ind w:right="879" w:firstLine="839" w:firstLineChars="200"/>
      <w:jc w:val="center"/>
      <w:textAlignment w:val="baseline"/>
    </w:pPr>
    <w:rPr>
      <w:rFonts w:hint="eastAsia" w:ascii="黑体" w:eastAsia="黑体"/>
      <w:kern w:val="0"/>
      <w:sz w:val="32"/>
      <w:szCs w:val="32"/>
    </w:rPr>
  </w:style>
  <w:style w:type="paragraph" w:customStyle="1" w:styleId="99">
    <w:name w:val="_Style 67"/>
    <w:basedOn w:val="1"/>
    <w:next w:val="100"/>
    <w:qFormat/>
    <w:uiPriority w:val="99"/>
    <w:pPr>
      <w:ind w:firstLine="420" w:firstLineChars="200"/>
    </w:pPr>
    <w:rPr>
      <w:rFonts w:ascii="Calibri" w:hAnsi="Calibri"/>
      <w:szCs w:val="22"/>
    </w:rPr>
  </w:style>
  <w:style w:type="paragraph" w:styleId="100">
    <w:name w:val="List Paragraph"/>
    <w:basedOn w:val="1"/>
    <w:qFormat/>
    <w:uiPriority w:val="99"/>
    <w:pPr>
      <w:ind w:firstLine="420" w:firstLineChars="200"/>
    </w:pPr>
    <w:rPr>
      <w:rFonts w:ascii="Calibri" w:hAnsi="Calibri" w:eastAsia="宋体"/>
      <w:szCs w:val="22"/>
    </w:rPr>
  </w:style>
  <w:style w:type="paragraph" w:customStyle="1" w:styleId="101">
    <w:name w:val="_Style 2"/>
    <w:basedOn w:val="1"/>
    <w:qFormat/>
    <w:uiPriority w:val="34"/>
    <w:pPr>
      <w:ind w:firstLine="420" w:firstLineChars="200"/>
    </w:pPr>
    <w:rPr>
      <w:rFonts w:ascii="Calibri" w:hAnsi="Calibri"/>
      <w:szCs w:val="22"/>
    </w:rPr>
  </w:style>
  <w:style w:type="paragraph" w:customStyle="1" w:styleId="102">
    <w:name w:val="列出段落1"/>
    <w:basedOn w:val="1"/>
    <w:qFormat/>
    <w:uiPriority w:val="34"/>
    <w:pPr>
      <w:adjustRightInd w:val="0"/>
      <w:spacing w:line="300" w:lineRule="auto"/>
      <w:ind w:firstLine="420" w:firstLineChars="200"/>
      <w:textAlignment w:val="baseline"/>
    </w:pPr>
    <w:rPr>
      <w:kern w:val="0"/>
      <w:sz w:val="24"/>
    </w:rPr>
  </w:style>
  <w:style w:type="paragraph" w:customStyle="1" w:styleId="103">
    <w:name w:val="TOC 标题1"/>
    <w:basedOn w:val="3"/>
    <w:next w:val="1"/>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104">
    <w:name w:val="封面落款"/>
    <w:basedOn w:val="1"/>
    <w:qFormat/>
    <w:uiPriority w:val="0"/>
    <w:pPr>
      <w:spacing w:line="360" w:lineRule="auto"/>
      <w:jc w:val="center"/>
    </w:pPr>
    <w:rPr>
      <w:rFonts w:ascii="Arial" w:hAnsi="Arial" w:eastAsia="黑体"/>
      <w:sz w:val="32"/>
      <w:szCs w:val="28"/>
    </w:rPr>
  </w:style>
  <w:style w:type="paragraph" w:customStyle="1" w:styleId="105">
    <w:name w:val="目录"/>
    <w:link w:val="106"/>
    <w:qFormat/>
    <w:uiPriority w:val="0"/>
    <w:pPr>
      <w:spacing w:before="156" w:after="156"/>
    </w:pPr>
    <w:rPr>
      <w:rFonts w:ascii="仿宋_GB2312" w:hAnsi="宋体" w:eastAsia="仿宋_GB2312" w:cs="Times New Roman"/>
      <w:sz w:val="28"/>
      <w:szCs w:val="28"/>
      <w:lang w:val="en-US" w:eastAsia="zh-CN" w:bidi="ar-SA"/>
    </w:rPr>
  </w:style>
  <w:style w:type="character" w:customStyle="1" w:styleId="106">
    <w:name w:val="目录 Char Char"/>
    <w:link w:val="105"/>
    <w:qFormat/>
    <w:uiPriority w:val="0"/>
    <w:rPr>
      <w:rFonts w:ascii="仿宋_GB2312" w:hAnsi="宋体" w:eastAsia="仿宋_GB2312"/>
      <w:sz w:val="28"/>
      <w:szCs w:val="28"/>
      <w:lang w:val="en-US" w:eastAsia="zh-CN" w:bidi="ar-SA"/>
    </w:rPr>
  </w:style>
  <w:style w:type="paragraph" w:customStyle="1" w:styleId="107">
    <w:name w:val="表格字体小四"/>
    <w:link w:val="108"/>
    <w:qFormat/>
    <w:uiPriority w:val="0"/>
    <w:pPr>
      <w:widowControl w:val="0"/>
      <w:jc w:val="center"/>
    </w:pPr>
    <w:rPr>
      <w:rFonts w:ascii="Times New Roman" w:hAnsi="Times New Roman" w:eastAsia="Arial Unicode MS" w:cs="Times New Roman"/>
      <w:kern w:val="2"/>
      <w:sz w:val="24"/>
      <w:szCs w:val="24"/>
      <w:lang w:val="en-US" w:eastAsia="zh-CN" w:bidi="ar-SA"/>
    </w:rPr>
  </w:style>
  <w:style w:type="character" w:customStyle="1" w:styleId="108">
    <w:name w:val="表格字体小四 Char Char"/>
    <w:link w:val="107"/>
    <w:qFormat/>
    <w:uiPriority w:val="0"/>
    <w:rPr>
      <w:kern w:val="2"/>
      <w:sz w:val="24"/>
      <w:szCs w:val="24"/>
      <w:lang w:val="en-US" w:eastAsia="zh-CN" w:bidi="ar-SA"/>
    </w:rPr>
  </w:style>
  <w:style w:type="paragraph" w:customStyle="1" w:styleId="109">
    <w:name w:val="样式 标题 5 + 小四"/>
    <w:basedOn w:val="7"/>
    <w:qFormat/>
    <w:uiPriority w:val="0"/>
    <w:pPr>
      <w:tabs>
        <w:tab w:val="left" w:pos="567"/>
      </w:tabs>
      <w:wordWrap w:val="0"/>
      <w:spacing w:line="377" w:lineRule="auto"/>
      <w:ind w:left="567" w:hanging="567"/>
      <w:jc w:val="left"/>
    </w:pPr>
  </w:style>
  <w:style w:type="paragraph" w:customStyle="1" w:styleId="110">
    <w:name w:val="表格格式"/>
    <w:basedOn w:val="1"/>
    <w:qFormat/>
    <w:uiPriority w:val="0"/>
    <w:pPr>
      <w:adjustRightInd w:val="0"/>
      <w:snapToGrid w:val="0"/>
      <w:jc w:val="left"/>
      <w:textAlignment w:val="baseline"/>
    </w:pPr>
    <w:rPr>
      <w:rFonts w:ascii="宋体"/>
      <w:kern w:val="0"/>
      <w:szCs w:val="20"/>
    </w:rPr>
  </w:style>
  <w:style w:type="paragraph" w:customStyle="1" w:styleId="111">
    <w:name w:val="样式5"/>
    <w:basedOn w:val="15"/>
    <w:qFormat/>
    <w:uiPriority w:val="0"/>
    <w:pPr>
      <w:ind w:firstLine="420"/>
    </w:pPr>
    <w:rPr>
      <w:sz w:val="21"/>
      <w:szCs w:val="21"/>
    </w:rPr>
  </w:style>
  <w:style w:type="paragraph" w:customStyle="1" w:styleId="112">
    <w:name w:val="标题2"/>
    <w:basedOn w:val="4"/>
    <w:next w:val="1"/>
    <w:link w:val="113"/>
    <w:qFormat/>
    <w:uiPriority w:val="0"/>
    <w:pPr>
      <w:widowControl/>
      <w:spacing w:beforeLines="10" w:afterLines="10" w:line="240" w:lineRule="auto"/>
      <w:jc w:val="left"/>
    </w:pPr>
    <w:rPr>
      <w:rFonts w:ascii="Times New Roman" w:hAnsi="Times New Roman" w:eastAsia="黑体"/>
      <w:b/>
      <w:bCs/>
      <w:szCs w:val="24"/>
    </w:rPr>
  </w:style>
  <w:style w:type="character" w:customStyle="1" w:styleId="113">
    <w:name w:val="标题2 Char Char"/>
    <w:link w:val="112"/>
    <w:qFormat/>
    <w:uiPriority w:val="0"/>
    <w:rPr>
      <w:rFonts w:eastAsia="黑体"/>
      <w:kern w:val="2"/>
      <w:sz w:val="32"/>
      <w:szCs w:val="24"/>
    </w:rPr>
  </w:style>
  <w:style w:type="paragraph" w:customStyle="1" w:styleId="114">
    <w:name w:val="三级"/>
    <w:basedOn w:val="4"/>
    <w:link w:val="115"/>
    <w:qFormat/>
    <w:uiPriority w:val="0"/>
    <w:pPr>
      <w:widowControl/>
      <w:spacing w:beforeLines="10" w:afterLines="10" w:line="240" w:lineRule="auto"/>
      <w:ind w:left="720" w:hanging="720"/>
      <w:jc w:val="left"/>
    </w:pPr>
    <w:rPr>
      <w:rFonts w:ascii="Times New Roman" w:hAnsi="Times New Roman" w:eastAsia="黑体"/>
      <w:b/>
      <w:sz w:val="30"/>
      <w:szCs w:val="24"/>
    </w:rPr>
  </w:style>
  <w:style w:type="character" w:customStyle="1" w:styleId="115">
    <w:name w:val="三级 Char Char"/>
    <w:link w:val="114"/>
    <w:qFormat/>
    <w:uiPriority w:val="0"/>
    <w:rPr>
      <w:rFonts w:eastAsia="黑体"/>
      <w:bCs/>
      <w:kern w:val="2"/>
      <w:sz w:val="30"/>
      <w:szCs w:val="24"/>
    </w:rPr>
  </w:style>
  <w:style w:type="paragraph" w:customStyle="1" w:styleId="116">
    <w:name w:val="样式2"/>
    <w:basedOn w:val="1"/>
    <w:link w:val="117"/>
    <w:qFormat/>
    <w:uiPriority w:val="0"/>
    <w:pPr>
      <w:spacing w:line="300" w:lineRule="auto"/>
      <w:jc w:val="center"/>
      <w:outlineLvl w:val="0"/>
    </w:pPr>
    <w:rPr>
      <w:b/>
      <w:sz w:val="24"/>
    </w:rPr>
  </w:style>
  <w:style w:type="character" w:customStyle="1" w:styleId="117">
    <w:name w:val="样式2 Char Char"/>
    <w:link w:val="116"/>
    <w:qFormat/>
    <w:uiPriority w:val="0"/>
    <w:rPr>
      <w:b/>
      <w:kern w:val="2"/>
      <w:sz w:val="24"/>
      <w:szCs w:val="24"/>
    </w:rPr>
  </w:style>
  <w:style w:type="paragraph" w:customStyle="1" w:styleId="118">
    <w:name w:val="Char1"/>
    <w:basedOn w:val="1"/>
    <w:qFormat/>
    <w:uiPriority w:val="0"/>
    <w:pPr>
      <w:adjustRightInd w:val="0"/>
      <w:spacing w:line="360" w:lineRule="auto"/>
    </w:pPr>
    <w:rPr>
      <w:kern w:val="0"/>
      <w:sz w:val="24"/>
      <w:szCs w:val="20"/>
    </w:rPr>
  </w:style>
  <w:style w:type="paragraph" w:customStyle="1" w:styleId="119">
    <w:name w:val="表格标题(居中)"/>
    <w:basedOn w:val="1"/>
    <w:qFormat/>
    <w:uiPriority w:val="0"/>
    <w:pPr>
      <w:adjustRightInd w:val="0"/>
      <w:snapToGrid w:val="0"/>
      <w:spacing w:line="300" w:lineRule="auto"/>
      <w:ind w:firstLine="480" w:firstLineChars="200"/>
      <w:jc w:val="center"/>
      <w:textAlignment w:val="baseline"/>
    </w:pPr>
    <w:rPr>
      <w:rFonts w:eastAsia="黑体"/>
      <w:kern w:val="0"/>
      <w:sz w:val="24"/>
    </w:rPr>
  </w:style>
  <w:style w:type="paragraph" w:customStyle="1" w:styleId="120">
    <w:name w:val="标题3"/>
    <w:basedOn w:val="5"/>
    <w:next w:val="1"/>
    <w:link w:val="121"/>
    <w:qFormat/>
    <w:uiPriority w:val="0"/>
    <w:pPr>
      <w:tabs>
        <w:tab w:val="clear" w:pos="588"/>
      </w:tabs>
      <w:spacing w:beforeLines="10" w:afterLines="10" w:line="440" w:lineRule="exact"/>
      <w:ind w:left="720" w:hanging="720"/>
      <w:jc w:val="left"/>
    </w:pPr>
    <w:rPr>
      <w:rFonts w:ascii="Times New Roman" w:hAnsi="Times New Roman" w:eastAsia="黑体"/>
      <w:b/>
      <w:bCs/>
      <w:sz w:val="28"/>
    </w:rPr>
  </w:style>
  <w:style w:type="character" w:customStyle="1" w:styleId="121">
    <w:name w:val="标题3 Char Char"/>
    <w:link w:val="120"/>
    <w:qFormat/>
    <w:uiPriority w:val="0"/>
    <w:rPr>
      <w:rFonts w:eastAsia="黑体"/>
      <w:kern w:val="2"/>
      <w:sz w:val="28"/>
      <w:szCs w:val="32"/>
    </w:rPr>
  </w:style>
  <w:style w:type="paragraph" w:customStyle="1" w:styleId="122">
    <w:name w:val="图表正文"/>
    <w:basedOn w:val="1"/>
    <w:qFormat/>
    <w:uiPriority w:val="0"/>
    <w:pPr>
      <w:tabs>
        <w:tab w:val="left" w:pos="2117"/>
      </w:tabs>
      <w:spacing w:beforeLines="50" w:afterLines="50" w:line="276" w:lineRule="auto"/>
      <w:jc w:val="center"/>
    </w:pPr>
    <w:rPr>
      <w:rFonts w:ascii="宋体" w:hAnsi="宋体"/>
      <w:color w:val="000000"/>
      <w:szCs w:val="21"/>
    </w:rPr>
  </w:style>
  <w:style w:type="paragraph" w:customStyle="1" w:styleId="123">
    <w:name w:val="表格标题"/>
    <w:basedOn w:val="16"/>
    <w:link w:val="124"/>
    <w:qFormat/>
    <w:uiPriority w:val="0"/>
    <w:pPr>
      <w:spacing w:before="152" w:after="160" w:line="420" w:lineRule="exact"/>
      <w:ind w:firstLine="480" w:firstLineChars="200"/>
      <w:jc w:val="center"/>
    </w:pPr>
    <w:rPr>
      <w:rFonts w:ascii="Arial" w:hAnsi="Arial" w:eastAsia="宋体"/>
      <w:sz w:val="24"/>
      <w:szCs w:val="24"/>
    </w:rPr>
  </w:style>
  <w:style w:type="character" w:customStyle="1" w:styleId="124">
    <w:name w:val="表格标题 Char Char"/>
    <w:link w:val="123"/>
    <w:qFormat/>
    <w:uiPriority w:val="0"/>
    <w:rPr>
      <w:rFonts w:ascii="Arial" w:hAnsi="Arial" w:cs="Arial"/>
      <w:kern w:val="2"/>
      <w:sz w:val="24"/>
      <w:szCs w:val="24"/>
    </w:rPr>
  </w:style>
  <w:style w:type="paragraph" w:customStyle="1" w:styleId="125">
    <w:name w:val="正文小4号字缩进2字符"/>
    <w:qFormat/>
    <w:uiPriority w:val="0"/>
    <w:pPr>
      <w:widowControl w:val="0"/>
      <w:tabs>
        <w:tab w:val="left" w:pos="2205"/>
      </w:tabs>
      <w:spacing w:line="400" w:lineRule="exact"/>
      <w:ind w:right="240" w:rightChars="100" w:firstLine="240" w:firstLineChars="100"/>
      <w:jc w:val="center"/>
    </w:pPr>
    <w:rPr>
      <w:rFonts w:ascii="宋体" w:hAnsi="宋体" w:eastAsia="Arial Unicode MS" w:cs="Times New Roman"/>
      <w:color w:val="000000"/>
      <w:kern w:val="2"/>
      <w:sz w:val="24"/>
      <w:szCs w:val="24"/>
      <w:lang w:val="en-US" w:eastAsia="zh-CN" w:bidi="ar-SA"/>
    </w:rPr>
  </w:style>
  <w:style w:type="paragraph" w:customStyle="1" w:styleId="126">
    <w:name w:val="图片"/>
    <w:basedOn w:val="1"/>
    <w:link w:val="127"/>
    <w:qFormat/>
    <w:uiPriority w:val="0"/>
    <w:pPr>
      <w:jc w:val="center"/>
    </w:pPr>
    <w:rPr>
      <w:sz w:val="28"/>
      <w:szCs w:val="28"/>
    </w:rPr>
  </w:style>
  <w:style w:type="character" w:customStyle="1" w:styleId="127">
    <w:name w:val="图片 Char Char"/>
    <w:link w:val="126"/>
    <w:qFormat/>
    <w:uiPriority w:val="0"/>
    <w:rPr>
      <w:kern w:val="2"/>
      <w:sz w:val="28"/>
      <w:szCs w:val="28"/>
    </w:rPr>
  </w:style>
  <w:style w:type="paragraph" w:customStyle="1" w:styleId="128">
    <w:name w:val="正文首行缩进1"/>
    <w:basedOn w:val="2"/>
    <w:qFormat/>
    <w:uiPriority w:val="0"/>
    <w:pPr>
      <w:suppressAutoHyphens/>
      <w:spacing w:line="300" w:lineRule="auto"/>
      <w:ind w:left="426"/>
    </w:pPr>
    <w:rPr>
      <w:rFonts w:ascii="宋体" w:hAnsi="宋体"/>
      <w:szCs w:val="20"/>
    </w:rPr>
  </w:style>
  <w:style w:type="paragraph" w:customStyle="1" w:styleId="129">
    <w:name w:val="纯文本1"/>
    <w:basedOn w:val="1"/>
    <w:qFormat/>
    <w:uiPriority w:val="0"/>
    <w:rPr>
      <w:rFonts w:ascii="宋体" w:hAnsi="Courier New"/>
    </w:rPr>
  </w:style>
  <w:style w:type="paragraph" w:customStyle="1" w:styleId="130">
    <w:name w:val="样式 首行不缩进"/>
    <w:basedOn w:val="1"/>
    <w:qFormat/>
    <w:uiPriority w:val="0"/>
    <w:pPr>
      <w:spacing w:before="120" w:after="120" w:line="360" w:lineRule="auto"/>
      <w:jc w:val="center"/>
    </w:pPr>
    <w:rPr>
      <w:rFonts w:cs="宋体"/>
      <w:sz w:val="24"/>
      <w:szCs w:val="20"/>
    </w:rPr>
  </w:style>
  <w:style w:type="paragraph" w:customStyle="1" w:styleId="131">
    <w:name w:val="图题"/>
    <w:link w:val="132"/>
    <w:qFormat/>
    <w:uiPriority w:val="0"/>
    <w:pPr>
      <w:jc w:val="center"/>
    </w:pPr>
    <w:rPr>
      <w:rFonts w:ascii="Times New Roman" w:hAnsi="Times New Roman" w:eastAsia="Arial Unicode MS" w:cs="Times New Roman"/>
      <w:kern w:val="2"/>
      <w:sz w:val="24"/>
      <w:szCs w:val="24"/>
      <w:lang w:val="en-US" w:eastAsia="zh-CN" w:bidi="ar-SA"/>
    </w:rPr>
  </w:style>
  <w:style w:type="character" w:customStyle="1" w:styleId="132">
    <w:name w:val="图题 Char Char"/>
    <w:link w:val="131"/>
    <w:qFormat/>
    <w:uiPriority w:val="0"/>
    <w:rPr>
      <w:kern w:val="2"/>
      <w:sz w:val="24"/>
      <w:szCs w:val="24"/>
      <w:lang w:val="en-US" w:eastAsia="zh-CN" w:bidi="ar-SA"/>
    </w:rPr>
  </w:style>
  <w:style w:type="paragraph" w:customStyle="1" w:styleId="133">
    <w:name w:val="小列表"/>
    <w:basedOn w:val="1"/>
    <w:link w:val="134"/>
    <w:qFormat/>
    <w:uiPriority w:val="0"/>
    <w:pPr>
      <w:numPr>
        <w:ilvl w:val="0"/>
        <w:numId w:val="2"/>
      </w:numPr>
      <w:autoSpaceDE w:val="0"/>
      <w:autoSpaceDN w:val="0"/>
      <w:spacing w:line="440" w:lineRule="exact"/>
      <w:ind w:firstLine="0"/>
    </w:pPr>
    <w:rPr>
      <w:sz w:val="24"/>
      <w:szCs w:val="28"/>
    </w:rPr>
  </w:style>
  <w:style w:type="character" w:customStyle="1" w:styleId="134">
    <w:name w:val="小列表 Char Char"/>
    <w:link w:val="133"/>
    <w:qFormat/>
    <w:uiPriority w:val="0"/>
    <w:rPr>
      <w:rFonts w:eastAsia="Arial Unicode MS"/>
      <w:kern w:val="2"/>
      <w:sz w:val="24"/>
      <w:szCs w:val="28"/>
    </w:rPr>
  </w:style>
  <w:style w:type="paragraph" w:customStyle="1" w:styleId="135">
    <w:name w:val="表格正文"/>
    <w:basedOn w:val="1"/>
    <w:qFormat/>
    <w:uiPriority w:val="0"/>
    <w:pPr>
      <w:widowControl/>
      <w:snapToGrid w:val="0"/>
      <w:spacing w:before="60" w:after="60"/>
      <w:ind w:left="11"/>
      <w:jc w:val="center"/>
    </w:pPr>
    <w:rPr>
      <w:kern w:val="0"/>
      <w:szCs w:val="21"/>
    </w:rPr>
  </w:style>
  <w:style w:type="character" w:customStyle="1" w:styleId="136">
    <w:name w:val="refresh"/>
    <w:qFormat/>
    <w:uiPriority w:val="0"/>
  </w:style>
  <w:style w:type="character" w:customStyle="1" w:styleId="137">
    <w:name w:val="del"/>
    <w:qFormat/>
    <w:uiPriority w:val="0"/>
  </w:style>
  <w:style w:type="character" w:customStyle="1" w:styleId="138">
    <w:name w:val="正文缩进 Char1"/>
    <w:qFormat/>
    <w:uiPriority w:val="0"/>
    <w:rPr>
      <w:rFonts w:eastAsia="宋体"/>
      <w:kern w:val="2"/>
      <w:sz w:val="21"/>
      <w:szCs w:val="24"/>
      <w:lang w:val="en-US" w:eastAsia="zh-CN" w:bidi="ar-SA"/>
    </w:rPr>
  </w:style>
  <w:style w:type="character" w:customStyle="1" w:styleId="139">
    <w:name w:val="label"/>
    <w:qFormat/>
    <w:uiPriority w:val="0"/>
  </w:style>
  <w:style w:type="character" w:customStyle="1" w:styleId="140">
    <w:name w:val="open2"/>
    <w:qFormat/>
    <w:uiPriority w:val="0"/>
  </w:style>
  <w:style w:type="character" w:customStyle="1" w:styleId="141">
    <w:name w:val="15"/>
    <w:qFormat/>
    <w:uiPriority w:val="0"/>
    <w:rPr>
      <w:rFonts w:hint="default" w:ascii="Calibri" w:hAnsi="Calibri" w:cs="Calibri"/>
      <w:color w:val="0000FF"/>
      <w:u w:val="single"/>
    </w:rPr>
  </w:style>
  <w:style w:type="character" w:customStyle="1" w:styleId="142">
    <w:name w:val="trans"/>
    <w:qFormat/>
    <w:uiPriority w:val="0"/>
  </w:style>
  <w:style w:type="character" w:customStyle="1" w:styleId="143">
    <w:name w:val="del2"/>
    <w:qFormat/>
    <w:uiPriority w:val="0"/>
  </w:style>
  <w:style w:type="character" w:customStyle="1" w:styleId="144">
    <w:name w:val="pagelinks"/>
    <w:qFormat/>
    <w:uiPriority w:val="0"/>
  </w:style>
  <w:style w:type="character" w:customStyle="1" w:styleId="145">
    <w:name w:val="morewin"/>
    <w:qFormat/>
    <w:uiPriority w:val="0"/>
  </w:style>
  <w:style w:type="character" w:customStyle="1" w:styleId="146">
    <w:name w:val="open"/>
    <w:qFormat/>
    <w:uiPriority w:val="0"/>
  </w:style>
  <w:style w:type="character" w:customStyle="1" w:styleId="147">
    <w:name w:val="批注文字 Char"/>
    <w:qFormat/>
    <w:uiPriority w:val="99"/>
    <w:rPr>
      <w:kern w:val="2"/>
      <w:sz w:val="24"/>
      <w:szCs w:val="28"/>
    </w:rPr>
  </w:style>
  <w:style w:type="character" w:customStyle="1" w:styleId="148">
    <w:name w:val="error"/>
    <w:qFormat/>
    <w:uiPriority w:val="0"/>
    <w:rPr>
      <w:color w:val="CC0000"/>
    </w:rPr>
  </w:style>
  <w:style w:type="character" w:customStyle="1" w:styleId="149">
    <w:name w:val="add"/>
    <w:qFormat/>
    <w:uiPriority w:val="0"/>
  </w:style>
  <w:style w:type="character" w:customStyle="1" w:styleId="150">
    <w:name w:val="pagebanner"/>
    <w:qFormat/>
    <w:uiPriority w:val="0"/>
  </w:style>
  <w:style w:type="character" w:customStyle="1" w:styleId="151">
    <w:name w:val="10"/>
    <w:qFormat/>
    <w:uiPriority w:val="0"/>
    <w:rPr>
      <w:rFonts w:hint="default" w:ascii="Calibri" w:hAnsi="Calibri" w:cs="Calibri"/>
    </w:rPr>
  </w:style>
  <w:style w:type="character" w:customStyle="1" w:styleId="152">
    <w:name w:val="mod"/>
    <w:qFormat/>
    <w:uiPriority w:val="0"/>
  </w:style>
  <w:style w:type="paragraph" w:customStyle="1" w:styleId="153">
    <w:name w:val="默认"/>
    <w:qFormat/>
    <w:uiPriority w:val="0"/>
    <w:pPr>
      <w:framePr w:wrap="around" w:vAnchor="margin" w:hAnchor="text" w:y="1"/>
      <w:spacing w:before="160"/>
    </w:pPr>
    <w:rPr>
      <w:rFonts w:ascii="Helvetica Neue" w:hAnsi="Helvetica Neue" w:eastAsia="Helvetica Neue" w:cs="Helvetica Neue"/>
      <w:color w:val="000000"/>
      <w:sz w:val="24"/>
      <w:szCs w:val="24"/>
      <w:lang w:val="en-US" w:eastAsia="zh-CN" w:bidi="ar-SA"/>
    </w:rPr>
  </w:style>
  <w:style w:type="character" w:customStyle="1" w:styleId="154">
    <w:name w:val="redfilefwwh"/>
    <w:qFormat/>
    <w:uiPriority w:val="0"/>
    <w:rPr>
      <w:color w:val="BA2636"/>
      <w:sz w:val="12"/>
      <w:szCs w:val="12"/>
    </w:rPr>
  </w:style>
  <w:style w:type="character" w:customStyle="1" w:styleId="155">
    <w:name w:val="gjfg"/>
    <w:qFormat/>
    <w:uiPriority w:val="0"/>
  </w:style>
  <w:style w:type="character" w:customStyle="1" w:styleId="156">
    <w:name w:val="redfilenumber"/>
    <w:qFormat/>
    <w:uiPriority w:val="0"/>
    <w:rPr>
      <w:color w:val="BA2636"/>
      <w:sz w:val="12"/>
      <w:szCs w:val="12"/>
    </w:rPr>
  </w:style>
  <w:style w:type="character" w:customStyle="1" w:styleId="157">
    <w:name w:val="qxdate"/>
    <w:qFormat/>
    <w:uiPriority w:val="0"/>
    <w:rPr>
      <w:color w:val="333333"/>
      <w:sz w:val="12"/>
      <w:szCs w:val="12"/>
    </w:rPr>
  </w:style>
  <w:style w:type="character" w:customStyle="1" w:styleId="158">
    <w:name w:val="prev"/>
    <w:qFormat/>
    <w:uiPriority w:val="0"/>
    <w:rPr>
      <w:rFonts w:ascii="微软雅黑" w:hAnsi="微软雅黑" w:eastAsia="微软雅黑" w:cs="微软雅黑"/>
      <w:sz w:val="14"/>
      <w:szCs w:val="14"/>
    </w:rPr>
  </w:style>
  <w:style w:type="character" w:customStyle="1" w:styleId="159">
    <w:name w:val="cfdate"/>
    <w:qFormat/>
    <w:uiPriority w:val="0"/>
    <w:rPr>
      <w:color w:val="333333"/>
      <w:sz w:val="12"/>
      <w:szCs w:val="12"/>
    </w:rPr>
  </w:style>
  <w:style w:type="character" w:customStyle="1" w:styleId="160">
    <w:name w:val="displayarti"/>
    <w:qFormat/>
    <w:uiPriority w:val="0"/>
    <w:rPr>
      <w:color w:val="FFFFFF"/>
      <w:shd w:val="clear" w:color="auto" w:fill="A00000"/>
    </w:rPr>
  </w:style>
  <w:style w:type="character" w:customStyle="1" w:styleId="161">
    <w:name w:val="next2"/>
    <w:qFormat/>
    <w:uiPriority w:val="0"/>
    <w:rPr>
      <w:rFonts w:hint="eastAsia" w:ascii="微软雅黑" w:hAnsi="微软雅黑" w:eastAsia="微软雅黑" w:cs="微软雅黑"/>
      <w:sz w:val="14"/>
      <w:szCs w:val="14"/>
    </w:rPr>
  </w:style>
  <w:style w:type="character" w:customStyle="1" w:styleId="162">
    <w:name w:val="next3"/>
    <w:qFormat/>
    <w:uiPriority w:val="0"/>
    <w:rPr>
      <w:color w:val="888888"/>
    </w:rPr>
  </w:style>
  <w:style w:type="character" w:customStyle="1" w:styleId="163">
    <w:name w:val="next"/>
    <w:qFormat/>
    <w:uiPriority w:val="0"/>
    <w:rPr>
      <w:rFonts w:ascii="微软雅黑" w:hAnsi="微软雅黑" w:eastAsia="微软雅黑" w:cs="微软雅黑"/>
      <w:sz w:val="14"/>
      <w:szCs w:val="14"/>
    </w:rPr>
  </w:style>
  <w:style w:type="character" w:customStyle="1" w:styleId="164">
    <w:name w:val="prev1"/>
    <w:qFormat/>
    <w:uiPriority w:val="0"/>
    <w:rPr>
      <w:color w:val="888888"/>
    </w:rPr>
  </w:style>
  <w:style w:type="paragraph" w:customStyle="1" w:styleId="165">
    <w:name w:val="Body text|21"/>
    <w:basedOn w:val="1"/>
    <w:link w:val="166"/>
    <w:qFormat/>
    <w:uiPriority w:val="0"/>
    <w:pPr>
      <w:shd w:val="clear" w:color="auto" w:fill="FFFFFF"/>
      <w:spacing w:before="4340" w:after="840" w:line="240" w:lineRule="exact"/>
      <w:jc w:val="center"/>
    </w:pPr>
    <w:rPr>
      <w:rFonts w:ascii="PMingLiU" w:hAnsi="PMingLiU" w:eastAsia="PMingLiU" w:cs="PMingLiU"/>
      <w:spacing w:val="30"/>
    </w:rPr>
  </w:style>
  <w:style w:type="character" w:customStyle="1" w:styleId="166">
    <w:name w:val="Body text|2_"/>
    <w:link w:val="165"/>
    <w:qFormat/>
    <w:uiPriority w:val="0"/>
    <w:rPr>
      <w:rFonts w:ascii="PMingLiU" w:hAnsi="PMingLiU" w:eastAsia="PMingLiU" w:cs="PMingLiU"/>
      <w:spacing w:val="30"/>
    </w:rPr>
  </w:style>
  <w:style w:type="character" w:customStyle="1" w:styleId="167">
    <w:name w:val="Body text|2 + Spacing 0 pt"/>
    <w:qFormat/>
    <w:uiPriority w:val="0"/>
    <w:rPr>
      <w:rFonts w:ascii="PMingLiU" w:hAnsi="PMingLiU" w:eastAsia="PMingLiU" w:cs="PMingLiU"/>
      <w:color w:val="000000"/>
      <w:spacing w:val="0"/>
      <w:w w:val="100"/>
      <w:position w:val="0"/>
      <w:sz w:val="24"/>
      <w:szCs w:val="24"/>
      <w:u w:val="none"/>
      <w:lang w:val="zh-CN" w:eastAsia="zh-CN" w:bidi="zh-CN"/>
    </w:rPr>
  </w:style>
  <w:style w:type="character" w:customStyle="1" w:styleId="168">
    <w:name w:val="Body text|2 + Spacing 3 pt"/>
    <w:qFormat/>
    <w:uiPriority w:val="0"/>
    <w:rPr>
      <w:rFonts w:ascii="PMingLiU" w:hAnsi="PMingLiU" w:eastAsia="PMingLiU" w:cs="PMingLiU"/>
      <w:color w:val="000000"/>
      <w:spacing w:val="60"/>
      <w:w w:val="100"/>
      <w:position w:val="0"/>
      <w:sz w:val="24"/>
      <w:szCs w:val="24"/>
      <w:u w:val="none"/>
      <w:lang w:val="zh-CN" w:eastAsia="zh-CN" w:bidi="zh-CN"/>
    </w:rPr>
  </w:style>
  <w:style w:type="paragraph" w:customStyle="1" w:styleId="169">
    <w:name w:val="图文"/>
    <w:basedOn w:val="1"/>
    <w:qFormat/>
    <w:uiPriority w:val="0"/>
    <w:pPr>
      <w:adjustRightInd w:val="0"/>
      <w:snapToGrid w:val="0"/>
      <w:spacing w:after="50" w:line="360" w:lineRule="auto"/>
    </w:pPr>
    <w:rPr>
      <w:sz w:val="24"/>
    </w:rPr>
  </w:style>
  <w:style w:type="paragraph" w:customStyle="1" w:styleId="170">
    <w:name w:val="页眉与页脚"/>
    <w:qFormat/>
    <w:uiPriority w:val="0"/>
    <w:pPr>
      <w:framePr w:wrap="around" w:vAnchor="margin" w:hAnchor="text" w:y="1"/>
      <w:tabs>
        <w:tab w:val="right" w:pos="9020"/>
      </w:tabs>
    </w:pPr>
    <w:rPr>
      <w:rFonts w:ascii="Helvetica Neue" w:hAnsi="Helvetica Neue" w:eastAsia="Helvetica Neue" w:cs="Helvetica Neue"/>
      <w:color w:val="000000"/>
      <w:sz w:val="24"/>
      <w:szCs w:val="24"/>
      <w:lang w:val="en-US" w:eastAsia="zh-CN" w:bidi="ar-SA"/>
    </w:rPr>
  </w:style>
  <w:style w:type="paragraph" w:customStyle="1" w:styleId="171">
    <w:name w:val="Char"/>
    <w:basedOn w:val="1"/>
    <w:qFormat/>
    <w:uiPriority w:val="0"/>
    <w:rPr>
      <w:rFonts w:ascii="仿宋_GB2312" w:eastAsia="仿宋_GB2312"/>
      <w:b/>
      <w:sz w:val="32"/>
      <w:szCs w:val="32"/>
    </w:rPr>
  </w:style>
  <w:style w:type="paragraph" w:customStyle="1" w:styleId="172">
    <w:name w:val="目录文字"/>
    <w:basedOn w:val="1"/>
    <w:qFormat/>
    <w:uiPriority w:val="0"/>
    <w:pPr>
      <w:widowControl/>
      <w:spacing w:line="480" w:lineRule="auto"/>
      <w:jc w:val="left"/>
    </w:pPr>
    <w:rPr>
      <w:rFonts w:ascii="宋体" w:hAnsi="宋体" w:eastAsia="宋体"/>
      <w:kern w:val="0"/>
      <w:sz w:val="24"/>
      <w:szCs w:val="20"/>
    </w:rPr>
  </w:style>
  <w:style w:type="paragraph" w:customStyle="1" w:styleId="173">
    <w:name w:val="1"/>
    <w:basedOn w:val="1"/>
    <w:next w:val="23"/>
    <w:qFormat/>
    <w:uiPriority w:val="99"/>
    <w:pPr>
      <w:widowControl/>
      <w:overflowPunct w:val="0"/>
      <w:autoSpaceDE w:val="0"/>
      <w:autoSpaceDN w:val="0"/>
      <w:adjustRightInd w:val="0"/>
      <w:spacing w:line="360" w:lineRule="auto"/>
      <w:ind w:firstLine="540"/>
      <w:textAlignment w:val="baseline"/>
    </w:pPr>
    <w:rPr>
      <w:rFonts w:ascii="宋体" w:hAnsi="MS Sans Serif" w:eastAsia="宋体"/>
      <w:spacing w:val="12"/>
      <w:kern w:val="0"/>
      <w:sz w:val="24"/>
      <w:szCs w:val="20"/>
    </w:rPr>
  </w:style>
  <w:style w:type="paragraph" w:customStyle="1" w:styleId="174">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kern w:val="0"/>
      <w:sz w:val="20"/>
      <w:szCs w:val="20"/>
    </w:rPr>
  </w:style>
  <w:style w:type="paragraph" w:customStyle="1" w:styleId="175">
    <w:name w:val="xl24"/>
    <w:basedOn w:val="1"/>
    <w:qFormat/>
    <w:uiPriority w:val="99"/>
    <w:pPr>
      <w:widowControl/>
      <w:spacing w:before="100" w:after="100"/>
      <w:jc w:val="center"/>
      <w:textAlignment w:val="center"/>
    </w:pPr>
    <w:rPr>
      <w:rFonts w:ascii="宋体" w:hAnsi="宋体" w:eastAsia="宋体"/>
      <w:kern w:val="0"/>
      <w:sz w:val="24"/>
      <w:szCs w:val="20"/>
    </w:rPr>
  </w:style>
  <w:style w:type="paragraph" w:customStyle="1" w:styleId="176">
    <w:name w:val="倪芳"/>
    <w:basedOn w:val="1"/>
    <w:qFormat/>
    <w:uiPriority w:val="0"/>
    <w:pPr>
      <w:spacing w:beforeLines="25" w:afterLines="15" w:line="400" w:lineRule="exact"/>
    </w:pPr>
    <w:rPr>
      <w:rFonts w:ascii="宋体" w:hAnsi="Courier New" w:eastAsia="宋体" w:cs="Courier New"/>
      <w:sz w:val="24"/>
      <w:szCs w:val="21"/>
    </w:rPr>
  </w:style>
  <w:style w:type="paragraph" w:customStyle="1" w:styleId="177">
    <w:name w:val="普通 (Web)"/>
    <w:basedOn w:val="1"/>
    <w:qFormat/>
    <w:uiPriority w:val="0"/>
    <w:pPr>
      <w:widowControl/>
      <w:spacing w:before="100" w:beforeAutospacing="1" w:after="100" w:afterAutospacing="1"/>
      <w:jc w:val="left"/>
    </w:pPr>
    <w:rPr>
      <w:rFonts w:ascii="宋体" w:hAnsi="宋体" w:eastAsia="宋体"/>
      <w:kern w:val="0"/>
      <w:sz w:val="24"/>
    </w:rPr>
  </w:style>
  <w:style w:type="paragraph" w:customStyle="1" w:styleId="178">
    <w:name w:val="样式 标题 2 + (符号) 宋体 小四"/>
    <w:basedOn w:val="4"/>
    <w:qFormat/>
    <w:uiPriority w:val="0"/>
    <w:pPr>
      <w:keepNext/>
      <w:keepLines/>
      <w:spacing w:line="416" w:lineRule="auto"/>
    </w:pPr>
    <w:rPr>
      <w:rFonts w:ascii="Arial" w:hAnsi="Arial" w:eastAsia="宋体"/>
      <w:bCs/>
      <w:sz w:val="24"/>
    </w:rPr>
  </w:style>
  <w:style w:type="character" w:customStyle="1" w:styleId="179">
    <w:name w:val="Char2"/>
    <w:qFormat/>
    <w:uiPriority w:val="0"/>
    <w:rPr>
      <w:rFonts w:ascii="Arial" w:hAnsi="Arial" w:eastAsia="黑体"/>
      <w:b/>
      <w:bCs/>
      <w:kern w:val="2"/>
      <w:sz w:val="32"/>
      <w:szCs w:val="32"/>
      <w:lang w:val="en-US" w:eastAsia="zh-CN" w:bidi="ar-SA"/>
    </w:rPr>
  </w:style>
  <w:style w:type="character" w:customStyle="1" w:styleId="180">
    <w:name w:val="样式 标题 2 + (符号) 宋体 小四 Char"/>
    <w:qFormat/>
    <w:uiPriority w:val="0"/>
    <w:rPr>
      <w:rFonts w:ascii="Arial" w:hAnsi="Arial" w:eastAsia="宋体"/>
      <w:b/>
      <w:bCs/>
      <w:kern w:val="2"/>
      <w:sz w:val="24"/>
      <w:szCs w:val="32"/>
      <w:lang w:val="en-US" w:eastAsia="zh-CN" w:bidi="ar-SA"/>
    </w:rPr>
  </w:style>
  <w:style w:type="paragraph" w:customStyle="1" w:styleId="181">
    <w:name w:val="样式1"/>
    <w:basedOn w:val="1"/>
    <w:next w:val="5"/>
    <w:qFormat/>
    <w:uiPriority w:val="99"/>
    <w:rPr>
      <w:rFonts w:eastAsia="宋体"/>
      <w:sz w:val="24"/>
      <w:szCs w:val="20"/>
    </w:rPr>
  </w:style>
  <w:style w:type="paragraph" w:customStyle="1" w:styleId="182">
    <w:name w:val="默认段落字体 Para Char Char Char Char Char Char Char Char Char Char"/>
    <w:basedOn w:val="18"/>
    <w:qFormat/>
    <w:uiPriority w:val="0"/>
    <w:pPr>
      <w:shd w:val="clear" w:color="auto" w:fill="000080"/>
      <w:spacing w:line="240" w:lineRule="auto"/>
    </w:pPr>
    <w:rPr>
      <w:rFonts w:ascii="Tahoma" w:hAnsi="Tahoma" w:eastAsia="宋体"/>
      <w:sz w:val="24"/>
      <w:szCs w:val="24"/>
    </w:rPr>
  </w:style>
  <w:style w:type="paragraph" w:customStyle="1" w:styleId="183">
    <w:name w:val="font5"/>
    <w:basedOn w:val="1"/>
    <w:qFormat/>
    <w:uiPriority w:val="0"/>
    <w:pPr>
      <w:widowControl/>
      <w:spacing w:before="100" w:beforeAutospacing="1" w:after="100" w:afterAutospacing="1"/>
      <w:jc w:val="left"/>
    </w:pPr>
    <w:rPr>
      <w:rFonts w:hint="eastAsia" w:ascii="宋体" w:hAnsi="宋体" w:eastAsia="宋体" w:cs="Arial Unicode MS"/>
      <w:kern w:val="0"/>
      <w:sz w:val="18"/>
      <w:szCs w:val="18"/>
    </w:rPr>
  </w:style>
  <w:style w:type="paragraph" w:customStyle="1" w:styleId="184">
    <w:name w:val="xl25"/>
    <w:basedOn w:val="1"/>
    <w:qFormat/>
    <w:uiPriority w:val="0"/>
    <w:pPr>
      <w:widowControl/>
      <w:pBdr>
        <w:right w:val="single" w:color="969696" w:sz="8" w:space="0"/>
      </w:pBdr>
      <w:spacing w:before="100" w:beforeAutospacing="1" w:after="100" w:afterAutospacing="1"/>
      <w:jc w:val="left"/>
    </w:pPr>
    <w:rPr>
      <w:rFonts w:ascii="Arial Unicode MS" w:hAnsi="Arial Unicode MS" w:cs="Arial Unicode MS"/>
      <w:kern w:val="0"/>
      <w:sz w:val="18"/>
      <w:szCs w:val="18"/>
    </w:rPr>
  </w:style>
  <w:style w:type="paragraph" w:customStyle="1" w:styleId="185">
    <w:name w:val="xl2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6">
    <w:name w:val="xl2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7">
    <w:name w:val="xl28"/>
    <w:basedOn w:val="1"/>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8">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9">
    <w:name w:val="xl3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90">
    <w:name w:val="xl31"/>
    <w:basedOn w:val="1"/>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91">
    <w:name w:val="xl32"/>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92">
    <w:name w:val="xl33"/>
    <w:basedOn w:val="1"/>
    <w:qFormat/>
    <w:uiPriority w:val="0"/>
    <w:pPr>
      <w:widowControl/>
      <w:pBdr>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9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4">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5">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b/>
      <w:bCs/>
      <w:kern w:val="0"/>
      <w:sz w:val="18"/>
      <w:szCs w:val="18"/>
    </w:rPr>
  </w:style>
  <w:style w:type="paragraph" w:customStyle="1" w:styleId="196">
    <w:name w:val="xl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7">
    <w:name w:val="xl3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8">
    <w:name w:val="xl39"/>
    <w:basedOn w:val="1"/>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9">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200">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201">
    <w:name w:val="xl42"/>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202">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203">
    <w:name w:val="_Style 186"/>
    <w:qFormat/>
    <w:uiPriority w:val="99"/>
    <w:pPr>
      <w:widowControl w:val="0"/>
      <w:jc w:val="both"/>
    </w:pPr>
    <w:rPr>
      <w:rFonts w:ascii="Times New Roman" w:hAnsi="Times New Roman" w:eastAsia="Arial Unicode MS" w:cs="Times New Roman"/>
      <w:kern w:val="2"/>
      <w:sz w:val="21"/>
      <w:szCs w:val="24"/>
      <w:lang w:val="en-US" w:eastAsia="zh-CN" w:bidi="ar-SA"/>
    </w:rPr>
  </w:style>
  <w:style w:type="paragraph" w:customStyle="1" w:styleId="204">
    <w:name w:val="文档正文"/>
    <w:basedOn w:val="1"/>
    <w:qFormat/>
    <w:uiPriority w:val="0"/>
    <w:pPr>
      <w:adjustRightInd w:val="0"/>
      <w:spacing w:line="480" w:lineRule="atLeast"/>
      <w:ind w:firstLine="567"/>
      <w:textAlignment w:val="baseline"/>
    </w:pPr>
    <w:rPr>
      <w:rFonts w:ascii="长城仿宋" w:eastAsia="宋体"/>
      <w:kern w:val="0"/>
      <w:sz w:val="24"/>
    </w:rPr>
  </w:style>
  <w:style w:type="character" w:customStyle="1" w:styleId="205">
    <w:name w:val="Char Char"/>
    <w:qFormat/>
    <w:uiPriority w:val="0"/>
    <w:rPr>
      <w:rFonts w:eastAsia="宋体"/>
      <w:kern w:val="2"/>
      <w:sz w:val="24"/>
      <w:lang w:val="en-US" w:eastAsia="zh-CN" w:bidi="ar-SA"/>
    </w:rPr>
  </w:style>
  <w:style w:type="paragraph" w:customStyle="1" w:styleId="206">
    <w:name w:val="1 Char Char Char Char"/>
    <w:basedOn w:val="1"/>
    <w:qFormat/>
    <w:uiPriority w:val="0"/>
    <w:rPr>
      <w:rFonts w:ascii="Tahoma" w:hAnsi="Tahoma" w:eastAsia="宋体"/>
      <w:sz w:val="24"/>
      <w:szCs w:val="20"/>
    </w:rPr>
  </w:style>
  <w:style w:type="paragraph" w:customStyle="1" w:styleId="207">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208">
    <w:name w:val="TOC 标题2"/>
    <w:basedOn w:val="3"/>
    <w:next w:val="1"/>
    <w:qFormat/>
    <w:uiPriority w:val="99"/>
    <w:pPr>
      <w:adjustRightInd/>
      <w:spacing w:before="340" w:after="330" w:line="578" w:lineRule="auto"/>
      <w:textAlignment w:val="auto"/>
      <w:outlineLvl w:val="9"/>
    </w:pPr>
    <w:rPr>
      <w:rFonts w:ascii="Times New Roman" w:hAnsi="Times New Roman" w:eastAsia="宋体"/>
      <w:sz w:val="44"/>
    </w:rPr>
  </w:style>
  <w:style w:type="character" w:customStyle="1" w:styleId="209">
    <w:name w:val="标题 1 Char1"/>
    <w:qFormat/>
    <w:uiPriority w:val="99"/>
    <w:rPr>
      <w:rFonts w:ascii="黑体" w:eastAsia="黑体"/>
      <w:sz w:val="52"/>
      <w:lang w:bidi="ar-SA"/>
    </w:rPr>
  </w:style>
  <w:style w:type="paragraph" w:customStyle="1" w:styleId="210">
    <w:name w:val="样式 标题 2 + Times New Roman 四号 非加粗 段前: 5 磅 段后: 0 磅 行距: 固定值 20..."/>
    <w:basedOn w:val="4"/>
    <w:qFormat/>
    <w:uiPriority w:val="99"/>
    <w:pPr>
      <w:keepNext/>
      <w:keepLines/>
      <w:spacing w:before="100" w:after="0" w:line="400" w:lineRule="exact"/>
    </w:pPr>
    <w:rPr>
      <w:rFonts w:ascii="Times New Roman" w:hAnsi="Times New Roman" w:eastAsia="黑体" w:cs="宋体"/>
      <w:sz w:val="28"/>
      <w:szCs w:val="20"/>
    </w:rPr>
  </w:style>
  <w:style w:type="paragraph" w:customStyle="1" w:styleId="211">
    <w:name w:val="3"/>
    <w:basedOn w:val="1"/>
    <w:next w:val="22"/>
    <w:qFormat/>
    <w:uiPriority w:val="99"/>
    <w:rPr>
      <w:rFonts w:ascii="宋体" w:eastAsia="宋体"/>
      <w:sz w:val="24"/>
      <w:szCs w:val="20"/>
    </w:rPr>
  </w:style>
  <w:style w:type="paragraph" w:customStyle="1" w:styleId="212">
    <w:name w:val="样式 标题 3 + (中文) 黑体 小四 非加粗 段前: 7.8 磅 段后: 0 磅 行距: 固定值 20 磅"/>
    <w:basedOn w:val="5"/>
    <w:qFormat/>
    <w:uiPriority w:val="0"/>
    <w:pPr>
      <w:keepNext/>
      <w:keepLines/>
      <w:tabs>
        <w:tab w:val="clear" w:pos="588"/>
      </w:tabs>
      <w:spacing w:line="400" w:lineRule="exact"/>
    </w:pPr>
    <w:rPr>
      <w:rFonts w:ascii="Times New Roman" w:hAnsi="Times New Roman" w:eastAsia="黑体"/>
      <w:sz w:val="24"/>
      <w:szCs w:val="20"/>
    </w:rPr>
  </w:style>
  <w:style w:type="paragraph" w:customStyle="1" w:styleId="213">
    <w:name w:val="2"/>
    <w:basedOn w:val="1"/>
    <w:next w:val="23"/>
    <w:qFormat/>
    <w:uiPriority w:val="99"/>
    <w:pPr>
      <w:ind w:left="432"/>
    </w:pPr>
    <w:rPr>
      <w:rFonts w:eastAsia="宋体"/>
      <w:szCs w:val="20"/>
    </w:rPr>
  </w:style>
  <w:style w:type="paragraph" w:customStyle="1" w:styleId="214">
    <w:name w:val="样式 标题 1 + 黑体 三号 非加粗 居中 段前: 6 磅 段后: 6 磅 行距: 固定值 20 磅"/>
    <w:basedOn w:val="3"/>
    <w:qFormat/>
    <w:uiPriority w:val="99"/>
    <w:pPr>
      <w:adjustRightInd/>
      <w:spacing w:before="120" w:after="120" w:line="400" w:lineRule="exact"/>
      <w:jc w:val="center"/>
      <w:textAlignment w:val="auto"/>
    </w:pPr>
    <w:rPr>
      <w:rFonts w:ascii="黑体" w:hAnsi="黑体" w:eastAsia="黑体" w:cs="宋体"/>
      <w:b w:val="0"/>
      <w:bCs w:val="0"/>
      <w:sz w:val="32"/>
      <w:szCs w:val="20"/>
    </w:rPr>
  </w:style>
  <w:style w:type="paragraph" w:customStyle="1" w:styleId="215">
    <w:name w:val="Char1111"/>
    <w:basedOn w:val="1"/>
    <w:qFormat/>
    <w:uiPriority w:val="0"/>
    <w:rPr>
      <w:rFonts w:ascii="Tahoma" w:hAnsi="Tahoma" w:eastAsia="宋体"/>
      <w:sz w:val="24"/>
      <w:szCs w:val="20"/>
    </w:rPr>
  </w:style>
  <w:style w:type="character" w:customStyle="1" w:styleId="216">
    <w:name w:val="font161"/>
    <w:qFormat/>
    <w:uiPriority w:val="99"/>
    <w:rPr>
      <w:b/>
      <w:bCs/>
      <w:sz w:val="32"/>
      <w:szCs w:val="32"/>
    </w:rPr>
  </w:style>
  <w:style w:type="paragraph" w:customStyle="1" w:styleId="217">
    <w:name w:val="6'"/>
    <w:basedOn w:val="1"/>
    <w:qFormat/>
    <w:uiPriority w:val="99"/>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218">
    <w:name w:val="表格"/>
    <w:basedOn w:val="1"/>
    <w:qFormat/>
    <w:uiPriority w:val="99"/>
    <w:pPr>
      <w:jc w:val="center"/>
      <w:textAlignment w:val="center"/>
    </w:pPr>
    <w:rPr>
      <w:rFonts w:ascii="华文细黑" w:hAnsi="华文细黑" w:eastAsia="宋体"/>
      <w:kern w:val="0"/>
      <w:szCs w:val="20"/>
    </w:rPr>
  </w:style>
  <w:style w:type="paragraph" w:customStyle="1" w:styleId="219">
    <w:name w:val="表格文字"/>
    <w:basedOn w:val="1"/>
    <w:qFormat/>
    <w:uiPriority w:val="99"/>
    <w:pPr>
      <w:adjustRightInd w:val="0"/>
      <w:spacing w:line="420" w:lineRule="atLeast"/>
      <w:jc w:val="left"/>
      <w:textAlignment w:val="baseline"/>
    </w:pPr>
    <w:rPr>
      <w:rFonts w:eastAsia="宋体"/>
      <w:kern w:val="0"/>
      <w:szCs w:val="20"/>
    </w:rPr>
  </w:style>
  <w:style w:type="paragraph" w:customStyle="1" w:styleId="220">
    <w:name w:val="XW正文"/>
    <w:basedOn w:val="23"/>
    <w:qFormat/>
    <w:uiPriority w:val="99"/>
    <w:pPr>
      <w:widowControl w:val="0"/>
      <w:adjustRightInd w:val="0"/>
      <w:snapToGrid w:val="0"/>
      <w:spacing w:line="300" w:lineRule="auto"/>
      <w:ind w:firstLine="520" w:firstLineChars="200"/>
    </w:pPr>
    <w:rPr>
      <w:rFonts w:ascii="Times New Roman" w:hAnsi="Times New Roman" w:eastAsia="宋体"/>
      <w:kern w:val="0"/>
    </w:rPr>
  </w:style>
  <w:style w:type="paragraph" w:customStyle="1" w:styleId="221">
    <w:name w:val="金安桥正文"/>
    <w:basedOn w:val="23"/>
    <w:qFormat/>
    <w:uiPriority w:val="99"/>
    <w:pPr>
      <w:widowControl w:val="0"/>
      <w:adjustRightInd w:val="0"/>
      <w:spacing w:line="300" w:lineRule="auto"/>
      <w:ind w:firstLine="200" w:firstLineChars="200"/>
    </w:pPr>
    <w:rPr>
      <w:rFonts w:ascii="Times New Roman" w:hAnsi="Times New Roman" w:eastAsia="宋体"/>
      <w:kern w:val="0"/>
      <w:sz w:val="24"/>
      <w:szCs w:val="20"/>
    </w:rPr>
  </w:style>
  <w:style w:type="character" w:customStyle="1" w:styleId="222">
    <w:name w:val="样式 粉红"/>
    <w:qFormat/>
    <w:uiPriority w:val="99"/>
    <w:rPr>
      <w:color w:val="auto"/>
      <w:u w:val="none"/>
    </w:rPr>
  </w:style>
  <w:style w:type="character" w:customStyle="1" w:styleId="223">
    <w:name w:val="Char Char1"/>
    <w:qFormat/>
    <w:uiPriority w:val="0"/>
    <w:rPr>
      <w:rFonts w:eastAsia="宋体"/>
      <w:kern w:val="2"/>
      <w:sz w:val="24"/>
      <w:lang w:val="en-US" w:eastAsia="zh-CN" w:bidi="ar-SA"/>
    </w:rPr>
  </w:style>
  <w:style w:type="paragraph" w:customStyle="1" w:styleId="224">
    <w:name w:val="Char Char Char Char"/>
    <w:basedOn w:val="1"/>
    <w:qFormat/>
    <w:uiPriority w:val="0"/>
    <w:pPr>
      <w:widowControl/>
      <w:spacing w:after="160" w:line="240" w:lineRule="exact"/>
      <w:jc w:val="left"/>
    </w:pPr>
    <w:rPr>
      <w:rFonts w:eastAsia="宋体"/>
      <w:szCs w:val="20"/>
    </w:rPr>
  </w:style>
  <w:style w:type="paragraph" w:customStyle="1" w:styleId="225">
    <w:name w:val="p17"/>
    <w:basedOn w:val="1"/>
    <w:qFormat/>
    <w:uiPriority w:val="99"/>
    <w:pPr>
      <w:widowControl/>
    </w:pPr>
    <w:rPr>
      <w:rFonts w:eastAsia="宋体"/>
      <w:kern w:val="0"/>
      <w:szCs w:val="21"/>
    </w:rPr>
  </w:style>
  <w:style w:type="character" w:customStyle="1" w:styleId="226">
    <w:name w:val="H4 Char"/>
    <w:qFormat/>
    <w:uiPriority w:val="0"/>
    <w:rPr>
      <w:b/>
      <w:sz w:val="28"/>
    </w:rPr>
  </w:style>
  <w:style w:type="character" w:customStyle="1" w:styleId="227">
    <w:name w:val="Char Char2"/>
    <w:qFormat/>
    <w:uiPriority w:val="0"/>
    <w:rPr>
      <w:rFonts w:eastAsia="宋体"/>
      <w:kern w:val="2"/>
      <w:sz w:val="24"/>
      <w:lang w:val="en-US" w:eastAsia="zh-CN" w:bidi="ar-SA"/>
    </w:rPr>
  </w:style>
  <w:style w:type="character" w:customStyle="1" w:styleId="228">
    <w:name w:val="Char Char111"/>
    <w:qFormat/>
    <w:uiPriority w:val="99"/>
    <w:rPr>
      <w:rFonts w:eastAsia="宋体"/>
      <w:kern w:val="2"/>
      <w:sz w:val="24"/>
      <w:lang w:val="en-US" w:eastAsia="zh-CN" w:bidi="ar-SA"/>
    </w:rPr>
  </w:style>
  <w:style w:type="paragraph" w:customStyle="1" w:styleId="229">
    <w:name w:val="Char Char Char Char111"/>
    <w:basedOn w:val="1"/>
    <w:qFormat/>
    <w:uiPriority w:val="0"/>
    <w:pPr>
      <w:widowControl/>
      <w:spacing w:after="160" w:line="240" w:lineRule="exact"/>
      <w:jc w:val="left"/>
    </w:pPr>
    <w:rPr>
      <w:rFonts w:eastAsia="宋体"/>
      <w:szCs w:val="20"/>
    </w:rPr>
  </w:style>
  <w:style w:type="paragraph" w:customStyle="1" w:styleId="230">
    <w:name w:val="font1"/>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31">
    <w:name w:val="font6"/>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32">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33">
    <w:name w:val="xl65"/>
    <w:basedOn w:val="1"/>
    <w:qFormat/>
    <w:uiPriority w:val="0"/>
    <w:pPr>
      <w:widowControl/>
      <w:spacing w:before="100" w:beforeAutospacing="1" w:after="100" w:afterAutospacing="1"/>
      <w:jc w:val="center"/>
      <w:textAlignment w:val="center"/>
    </w:pPr>
    <w:rPr>
      <w:rFonts w:ascii="宋体" w:hAnsi="宋体" w:eastAsia="宋体" w:cs="宋体"/>
      <w:kern w:val="0"/>
      <w:sz w:val="24"/>
    </w:rPr>
  </w:style>
  <w:style w:type="paragraph" w:customStyle="1" w:styleId="23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rPr>
  </w:style>
  <w:style w:type="paragraph" w:customStyle="1" w:styleId="23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6">
    <w:name w:val="xl6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7">
    <w:name w:val="xl69"/>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8">
    <w:name w:val="xl7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40">
    <w:name w:val="xl72"/>
    <w:basedOn w:val="1"/>
    <w:qFormat/>
    <w:uiPriority w:val="0"/>
    <w:pPr>
      <w:widowControl/>
      <w:spacing w:before="100" w:beforeAutospacing="1" w:after="100" w:afterAutospacing="1"/>
      <w:jc w:val="left"/>
    </w:pPr>
    <w:rPr>
      <w:rFonts w:ascii="宋体" w:hAnsi="宋体" w:eastAsia="宋体" w:cs="宋体"/>
      <w:b/>
      <w:bCs/>
      <w:kern w:val="0"/>
      <w:sz w:val="24"/>
    </w:rPr>
  </w:style>
  <w:style w:type="paragraph" w:customStyle="1" w:styleId="241">
    <w:name w:val="xl73"/>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42">
    <w:name w:val="前言、引言标题"/>
    <w:next w:val="1"/>
    <w:qFormat/>
    <w:uiPriority w:val="0"/>
    <w:pPr>
      <w:numPr>
        <w:ilvl w:val="0"/>
        <w:numId w:val="3"/>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3">
    <w:name w:val="章标题"/>
    <w:next w:val="1"/>
    <w:link w:val="244"/>
    <w:qFormat/>
    <w:uiPriority w:val="0"/>
    <w:pPr>
      <w:numPr>
        <w:ilvl w:val="1"/>
        <w:numId w:val="3"/>
      </w:numPr>
      <w:spacing w:beforeLines="50" w:afterLines="50"/>
      <w:jc w:val="both"/>
      <w:outlineLvl w:val="1"/>
    </w:pPr>
    <w:rPr>
      <w:rFonts w:ascii="黑体" w:hAnsi="Times New Roman" w:eastAsia="黑体" w:cs="Times New Roman"/>
      <w:sz w:val="21"/>
      <w:lang w:val="en-US" w:eastAsia="zh-CN" w:bidi="ar-SA"/>
    </w:rPr>
  </w:style>
  <w:style w:type="character" w:customStyle="1" w:styleId="244">
    <w:name w:val="章标题 Char"/>
    <w:link w:val="243"/>
    <w:qFormat/>
    <w:uiPriority w:val="0"/>
    <w:rPr>
      <w:rFonts w:ascii="黑体" w:eastAsia="黑体"/>
      <w:sz w:val="21"/>
    </w:rPr>
  </w:style>
  <w:style w:type="paragraph" w:customStyle="1" w:styleId="245">
    <w:name w:val="一级条标题"/>
    <w:basedOn w:val="243"/>
    <w:next w:val="1"/>
    <w:link w:val="246"/>
    <w:qFormat/>
    <w:uiPriority w:val="0"/>
    <w:pPr>
      <w:numPr>
        <w:ilvl w:val="2"/>
      </w:numPr>
      <w:tabs>
        <w:tab w:val="left" w:pos="360"/>
      </w:tabs>
      <w:spacing w:beforeLines="0" w:afterLines="0"/>
      <w:ind w:left="315"/>
      <w:outlineLvl w:val="2"/>
    </w:pPr>
  </w:style>
  <w:style w:type="character" w:customStyle="1" w:styleId="246">
    <w:name w:val="一级条标题 Char"/>
    <w:link w:val="245"/>
    <w:qFormat/>
    <w:uiPriority w:val="0"/>
    <w:rPr>
      <w:rFonts w:ascii="黑体" w:eastAsia="黑体"/>
      <w:sz w:val="21"/>
    </w:rPr>
  </w:style>
  <w:style w:type="paragraph" w:customStyle="1" w:styleId="247">
    <w:name w:val="二级条标题"/>
    <w:basedOn w:val="245"/>
    <w:next w:val="1"/>
    <w:link w:val="248"/>
    <w:qFormat/>
    <w:uiPriority w:val="0"/>
    <w:pPr>
      <w:numPr>
        <w:ilvl w:val="3"/>
      </w:numPr>
      <w:ind w:left="315"/>
      <w:outlineLvl w:val="3"/>
    </w:pPr>
  </w:style>
  <w:style w:type="character" w:customStyle="1" w:styleId="248">
    <w:name w:val="二级条标题 Char"/>
    <w:link w:val="247"/>
    <w:qFormat/>
    <w:uiPriority w:val="0"/>
    <w:rPr>
      <w:rFonts w:ascii="黑体" w:eastAsia="黑体"/>
      <w:sz w:val="21"/>
    </w:rPr>
  </w:style>
  <w:style w:type="paragraph" w:customStyle="1" w:styleId="249">
    <w:name w:val="列项——"/>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250">
    <w:name w:val="三级条标题"/>
    <w:basedOn w:val="247"/>
    <w:next w:val="1"/>
    <w:qFormat/>
    <w:uiPriority w:val="0"/>
    <w:pPr>
      <w:numPr>
        <w:ilvl w:val="4"/>
      </w:numPr>
      <w:tabs>
        <w:tab w:val="left" w:pos="1680"/>
        <w:tab w:val="left" w:pos="2100"/>
      </w:tabs>
      <w:ind w:left="2100" w:hanging="420"/>
      <w:outlineLvl w:val="4"/>
    </w:pPr>
  </w:style>
  <w:style w:type="paragraph" w:customStyle="1" w:styleId="251">
    <w:name w:val="四级条标题"/>
    <w:basedOn w:val="250"/>
    <w:next w:val="1"/>
    <w:qFormat/>
    <w:uiPriority w:val="0"/>
    <w:pPr>
      <w:numPr>
        <w:ilvl w:val="5"/>
      </w:numPr>
      <w:tabs>
        <w:tab w:val="left" w:pos="2520"/>
      </w:tabs>
      <w:ind w:left="2520" w:hanging="420"/>
      <w:outlineLvl w:val="5"/>
    </w:pPr>
  </w:style>
  <w:style w:type="paragraph" w:customStyle="1" w:styleId="252">
    <w:name w:val="五级条标题"/>
    <w:basedOn w:val="251"/>
    <w:next w:val="1"/>
    <w:qFormat/>
    <w:uiPriority w:val="0"/>
    <w:pPr>
      <w:numPr>
        <w:ilvl w:val="6"/>
      </w:numPr>
      <w:tabs>
        <w:tab w:val="left" w:pos="2940"/>
      </w:tabs>
      <w:ind w:left="2940" w:hanging="420"/>
      <w:outlineLvl w:val="6"/>
    </w:pPr>
  </w:style>
  <w:style w:type="character" w:customStyle="1" w:styleId="253">
    <w:name w:val="Heading 1 Char"/>
    <w:qFormat/>
    <w:locked/>
    <w:uiPriority w:val="0"/>
    <w:rPr>
      <w:rFonts w:ascii="黑体" w:hAnsi="Times New Roman" w:eastAsia="黑体" w:cs="Times New Roman"/>
      <w:kern w:val="0"/>
      <w:sz w:val="20"/>
      <w:szCs w:val="20"/>
    </w:rPr>
  </w:style>
  <w:style w:type="character" w:customStyle="1" w:styleId="254">
    <w:name w:val="Heading 2 Char"/>
    <w:qFormat/>
    <w:locked/>
    <w:uiPriority w:val="0"/>
    <w:rPr>
      <w:rFonts w:ascii="Times New Roman" w:hAnsi="Times New Roman" w:eastAsia="宋体" w:cs="Times New Roman"/>
      <w:b/>
      <w:kern w:val="0"/>
      <w:sz w:val="32"/>
      <w:szCs w:val="32"/>
    </w:rPr>
  </w:style>
  <w:style w:type="character" w:customStyle="1" w:styleId="255">
    <w:name w:val="标题 3 Char1"/>
    <w:qFormat/>
    <w:locked/>
    <w:uiPriority w:val="99"/>
    <w:rPr>
      <w:rFonts w:eastAsia="宋体"/>
      <w:b/>
      <w:sz w:val="32"/>
      <w:lang w:val="en-US" w:eastAsia="zh-CN" w:bidi="ar-SA"/>
    </w:rPr>
  </w:style>
  <w:style w:type="character" w:customStyle="1" w:styleId="256">
    <w:name w:val="Heading 4 Char"/>
    <w:qFormat/>
    <w:locked/>
    <w:uiPriority w:val="0"/>
    <w:rPr>
      <w:rFonts w:ascii="Times New Roman" w:hAnsi="Times New Roman" w:eastAsia="宋体" w:cs="Times New Roman"/>
      <w:b/>
      <w:kern w:val="0"/>
      <w:sz w:val="20"/>
      <w:szCs w:val="20"/>
    </w:rPr>
  </w:style>
  <w:style w:type="character" w:customStyle="1" w:styleId="257">
    <w:name w:val="Heading 5 Char"/>
    <w:qFormat/>
    <w:locked/>
    <w:uiPriority w:val="0"/>
    <w:rPr>
      <w:rFonts w:ascii="Times New Roman" w:hAnsi="Times New Roman" w:eastAsia="宋体" w:cs="Times New Roman"/>
      <w:b/>
      <w:bCs/>
      <w:sz w:val="28"/>
      <w:szCs w:val="28"/>
    </w:rPr>
  </w:style>
  <w:style w:type="character" w:customStyle="1" w:styleId="258">
    <w:name w:val="Heading 6 Char"/>
    <w:qFormat/>
    <w:locked/>
    <w:uiPriority w:val="0"/>
    <w:rPr>
      <w:rFonts w:ascii="Arial" w:hAnsi="Arial" w:eastAsia="黑体" w:cs="Times New Roman"/>
      <w:b/>
      <w:bCs/>
      <w:kern w:val="0"/>
      <w:sz w:val="24"/>
      <w:szCs w:val="24"/>
    </w:rPr>
  </w:style>
  <w:style w:type="character" w:customStyle="1" w:styleId="259">
    <w:name w:val="Heading 7 Char"/>
    <w:qFormat/>
    <w:locked/>
    <w:uiPriority w:val="0"/>
    <w:rPr>
      <w:rFonts w:ascii="Times New Roman" w:hAnsi="Times New Roman" w:eastAsia="宋体" w:cs="Times New Roman"/>
      <w:b/>
      <w:bCs/>
      <w:kern w:val="0"/>
      <w:sz w:val="24"/>
      <w:szCs w:val="24"/>
    </w:rPr>
  </w:style>
  <w:style w:type="character" w:customStyle="1" w:styleId="260">
    <w:name w:val="Heading 8 Char"/>
    <w:qFormat/>
    <w:locked/>
    <w:uiPriority w:val="0"/>
    <w:rPr>
      <w:rFonts w:ascii="Arial" w:hAnsi="Arial" w:eastAsia="黑体" w:cs="Times New Roman"/>
      <w:kern w:val="0"/>
      <w:sz w:val="24"/>
      <w:szCs w:val="24"/>
    </w:rPr>
  </w:style>
  <w:style w:type="character" w:customStyle="1" w:styleId="261">
    <w:name w:val="Heading 9 Char"/>
    <w:qFormat/>
    <w:locked/>
    <w:uiPriority w:val="0"/>
    <w:rPr>
      <w:rFonts w:ascii="Arial" w:hAnsi="Arial" w:eastAsia="黑体" w:cs="Times New Roman"/>
      <w:kern w:val="0"/>
      <w:sz w:val="21"/>
      <w:szCs w:val="21"/>
    </w:rPr>
  </w:style>
  <w:style w:type="character" w:customStyle="1" w:styleId="262">
    <w:name w:val="Document Map Char"/>
    <w:qFormat/>
    <w:locked/>
    <w:uiPriority w:val="0"/>
    <w:rPr>
      <w:rFonts w:ascii="Times New Roman" w:hAnsi="Times New Roman" w:eastAsia="宋体" w:cs="Times New Roman"/>
      <w:sz w:val="24"/>
      <w:szCs w:val="24"/>
      <w:shd w:val="clear" w:color="auto" w:fill="000080"/>
    </w:rPr>
  </w:style>
  <w:style w:type="character" w:customStyle="1" w:styleId="263">
    <w:name w:val="Date Char"/>
    <w:qFormat/>
    <w:locked/>
    <w:uiPriority w:val="0"/>
    <w:rPr>
      <w:rFonts w:ascii="Times New Roman" w:hAnsi="Times New Roman" w:eastAsia="宋体" w:cs="Times New Roman"/>
      <w:sz w:val="20"/>
      <w:szCs w:val="20"/>
    </w:rPr>
  </w:style>
  <w:style w:type="character" w:customStyle="1" w:styleId="264">
    <w:name w:val="Header Char"/>
    <w:qFormat/>
    <w:locked/>
    <w:uiPriority w:val="0"/>
    <w:rPr>
      <w:rFonts w:ascii="Times New Roman" w:hAnsi="Times New Roman" w:eastAsia="宋体" w:cs="Times New Roman"/>
      <w:kern w:val="0"/>
      <w:sz w:val="20"/>
      <w:szCs w:val="20"/>
    </w:rPr>
  </w:style>
  <w:style w:type="character" w:customStyle="1" w:styleId="265">
    <w:name w:val="Footer Char"/>
    <w:qFormat/>
    <w:locked/>
    <w:uiPriority w:val="0"/>
    <w:rPr>
      <w:rFonts w:ascii="Times New Roman" w:hAnsi="Times New Roman" w:eastAsia="宋体" w:cs="Times New Roman"/>
      <w:kern w:val="0"/>
      <w:sz w:val="20"/>
      <w:szCs w:val="20"/>
    </w:rPr>
  </w:style>
  <w:style w:type="character" w:customStyle="1" w:styleId="266">
    <w:name w:val="Plain Text Char"/>
    <w:qFormat/>
    <w:locked/>
    <w:uiPriority w:val="0"/>
    <w:rPr>
      <w:rFonts w:ascii="宋体" w:hAnsi="Courier New" w:eastAsia="宋体" w:cs="Times New Roman"/>
      <w:sz w:val="20"/>
      <w:szCs w:val="20"/>
    </w:rPr>
  </w:style>
  <w:style w:type="character" w:customStyle="1" w:styleId="267">
    <w:name w:val="Body Text Indent 2 Char"/>
    <w:qFormat/>
    <w:locked/>
    <w:uiPriority w:val="0"/>
    <w:rPr>
      <w:rFonts w:ascii="Times New Roman" w:hAnsi="Times New Roman" w:eastAsia="宋体" w:cs="Times New Roman"/>
      <w:sz w:val="30"/>
      <w:szCs w:val="30"/>
    </w:rPr>
  </w:style>
  <w:style w:type="character" w:customStyle="1" w:styleId="268">
    <w:name w:val="Body Text Indent 3 Char"/>
    <w:qFormat/>
    <w:locked/>
    <w:uiPriority w:val="0"/>
    <w:rPr>
      <w:rFonts w:ascii="Times New Roman" w:hAnsi="Times New Roman" w:eastAsia="宋体" w:cs="Times New Roman"/>
      <w:sz w:val="30"/>
      <w:szCs w:val="30"/>
    </w:rPr>
  </w:style>
  <w:style w:type="character" w:customStyle="1" w:styleId="269">
    <w:name w:val="Body Text First Indent 2 Char"/>
    <w:qFormat/>
    <w:locked/>
    <w:uiPriority w:val="0"/>
    <w:rPr>
      <w:rFonts w:ascii="Times New Roman" w:hAnsi="Times New Roman" w:eastAsia="宋体" w:cs="Times New Roman"/>
      <w:kern w:val="2"/>
      <w:sz w:val="24"/>
      <w:szCs w:val="24"/>
    </w:rPr>
  </w:style>
  <w:style w:type="character" w:customStyle="1" w:styleId="270">
    <w:name w:val="Body Text 2 Char"/>
    <w:qFormat/>
    <w:locked/>
    <w:uiPriority w:val="0"/>
    <w:rPr>
      <w:rFonts w:ascii="宋体" w:hAnsi="Times New Roman" w:eastAsia="宋体" w:cs="Times New Roman"/>
      <w:sz w:val="20"/>
      <w:szCs w:val="20"/>
    </w:rPr>
  </w:style>
  <w:style w:type="character" w:customStyle="1" w:styleId="271">
    <w:name w:val="Balloon Text Char"/>
    <w:qFormat/>
    <w:locked/>
    <w:uiPriority w:val="0"/>
    <w:rPr>
      <w:rFonts w:ascii="Times New Roman" w:hAnsi="Times New Roman" w:eastAsia="宋体" w:cs="Times New Roman"/>
      <w:sz w:val="18"/>
      <w:szCs w:val="18"/>
    </w:rPr>
  </w:style>
  <w:style w:type="character" w:customStyle="1" w:styleId="272">
    <w:name w:val="Salutation Char"/>
    <w:qFormat/>
    <w:locked/>
    <w:uiPriority w:val="0"/>
    <w:rPr>
      <w:rFonts w:ascii="..ì." w:hAnsi="Times New Roman" w:eastAsia="..ì." w:cs="Times New Roman"/>
      <w:kern w:val="0"/>
      <w:sz w:val="20"/>
      <w:szCs w:val="20"/>
    </w:rPr>
  </w:style>
  <w:style w:type="character" w:customStyle="1" w:styleId="273">
    <w:name w:val="Note Heading Char"/>
    <w:qFormat/>
    <w:locked/>
    <w:uiPriority w:val="0"/>
    <w:rPr>
      <w:rFonts w:ascii="..ì." w:hAnsi="Times New Roman" w:eastAsia="..ì." w:cs="Times New Roman"/>
      <w:kern w:val="0"/>
      <w:sz w:val="20"/>
      <w:szCs w:val="20"/>
    </w:rPr>
  </w:style>
  <w:style w:type="paragraph" w:customStyle="1" w:styleId="274">
    <w:name w:val="Revision1"/>
    <w:semiHidden/>
    <w:qFormat/>
    <w:uiPriority w:val="0"/>
    <w:rPr>
      <w:rFonts w:ascii="Times New Roman" w:hAnsi="Times New Roman" w:eastAsia="宋体" w:cs="Times New Roman"/>
      <w:kern w:val="2"/>
      <w:sz w:val="21"/>
      <w:szCs w:val="24"/>
      <w:lang w:val="en-US" w:eastAsia="zh-CN" w:bidi="ar-SA"/>
    </w:rPr>
  </w:style>
  <w:style w:type="paragraph" w:customStyle="1" w:styleId="275">
    <w:name w:val="TOC Heading1"/>
    <w:basedOn w:val="3"/>
    <w:next w:val="1"/>
    <w:qFormat/>
    <w:uiPriority w:val="0"/>
    <w:pPr>
      <w:adjustRightInd/>
      <w:spacing w:before="340" w:after="330" w:line="578" w:lineRule="auto"/>
      <w:textAlignment w:val="auto"/>
      <w:outlineLvl w:val="9"/>
    </w:pPr>
    <w:rPr>
      <w:rFonts w:ascii="Times New Roman" w:hAnsi="Times New Roman" w:eastAsia="宋体"/>
      <w:sz w:val="44"/>
    </w:rPr>
  </w:style>
  <w:style w:type="character" w:customStyle="1" w:styleId="276">
    <w:name w:val="Body Text 3 Char"/>
    <w:qFormat/>
    <w:locked/>
    <w:uiPriority w:val="0"/>
    <w:rPr>
      <w:rFonts w:ascii="Times New Roman" w:hAnsi="Times New Roman" w:eastAsia="宋体" w:cs="Times New Roman"/>
      <w:sz w:val="16"/>
      <w:szCs w:val="16"/>
    </w:rPr>
  </w:style>
  <w:style w:type="character" w:customStyle="1" w:styleId="277">
    <w:name w:val="Title Char"/>
    <w:qFormat/>
    <w:locked/>
    <w:uiPriority w:val="0"/>
    <w:rPr>
      <w:rFonts w:ascii="Arial" w:hAnsi="Arial" w:eastAsia="宋体" w:cs="Times New Roman"/>
      <w:b/>
      <w:kern w:val="0"/>
      <w:sz w:val="20"/>
      <w:szCs w:val="20"/>
    </w:rPr>
  </w:style>
  <w:style w:type="character" w:customStyle="1" w:styleId="278">
    <w:name w:val="Comment Subject Char"/>
    <w:qFormat/>
    <w:locked/>
    <w:uiPriority w:val="0"/>
    <w:rPr>
      <w:rFonts w:ascii="Times New Roman" w:hAnsi="Times New Roman" w:eastAsia="宋体" w:cs="Times New Roman"/>
      <w:b/>
      <w:bCs/>
      <w:sz w:val="24"/>
      <w:szCs w:val="24"/>
    </w:rPr>
  </w:style>
  <w:style w:type="character" w:customStyle="1" w:styleId="279">
    <w:name w:val="Comment Text Char"/>
    <w:qFormat/>
    <w:locked/>
    <w:uiPriority w:val="0"/>
    <w:rPr>
      <w:rFonts w:ascii="Times New Roman" w:hAnsi="Times New Roman" w:eastAsia="宋体"/>
      <w:sz w:val="24"/>
    </w:rPr>
  </w:style>
  <w:style w:type="paragraph" w:customStyle="1" w:styleId="280">
    <w:name w:val="List Paragraph1"/>
    <w:basedOn w:val="1"/>
    <w:qFormat/>
    <w:uiPriority w:val="0"/>
    <w:pPr>
      <w:ind w:firstLine="420" w:firstLineChars="200"/>
    </w:pPr>
    <w:rPr>
      <w:rFonts w:eastAsia="宋体"/>
    </w:rPr>
  </w:style>
  <w:style w:type="paragraph" w:customStyle="1" w:styleId="281">
    <w:name w:val="reader-word-layer reader-word-s2-5"/>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82">
    <w:name w:val="未处理的提及1"/>
    <w:unhideWhenUsed/>
    <w:qFormat/>
    <w:uiPriority w:val="99"/>
    <w:rPr>
      <w:color w:val="605E5C"/>
      <w:shd w:val="clear" w:color="auto" w:fill="E1DFDD"/>
    </w:rPr>
  </w:style>
  <w:style w:type="character" w:customStyle="1" w:styleId="283">
    <w:name w:val="Char Char11"/>
    <w:qFormat/>
    <w:uiPriority w:val="99"/>
    <w:rPr>
      <w:rFonts w:eastAsia="宋体"/>
      <w:kern w:val="2"/>
      <w:sz w:val="24"/>
      <w:lang w:val="en-US" w:eastAsia="zh-CN"/>
    </w:rPr>
  </w:style>
  <w:style w:type="character" w:customStyle="1" w:styleId="284">
    <w:name w:val="正文文本 Char1"/>
    <w:semiHidden/>
    <w:qFormat/>
    <w:uiPriority w:val="0"/>
    <w:rPr>
      <w:rFonts w:ascii="Times New Roman" w:hAnsi="Times New Roman" w:eastAsia="宋体" w:cs="Times New Roman"/>
      <w:szCs w:val="24"/>
    </w:rPr>
  </w:style>
  <w:style w:type="paragraph" w:customStyle="1" w:styleId="285">
    <w:name w:val="样式"/>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86">
    <w:name w:val="Char11"/>
    <w:basedOn w:val="1"/>
    <w:qFormat/>
    <w:uiPriority w:val="99"/>
    <w:rPr>
      <w:rFonts w:ascii="Tahoma" w:hAnsi="Tahoma" w:eastAsia="宋体"/>
      <w:sz w:val="24"/>
      <w:szCs w:val="20"/>
    </w:rPr>
  </w:style>
  <w:style w:type="paragraph" w:customStyle="1" w:styleId="287">
    <w:name w:val="Char Char Char Char1"/>
    <w:basedOn w:val="1"/>
    <w:qFormat/>
    <w:uiPriority w:val="99"/>
    <w:pPr>
      <w:widowControl/>
      <w:spacing w:after="160" w:line="240" w:lineRule="exact"/>
      <w:jc w:val="left"/>
    </w:pPr>
    <w:rPr>
      <w:rFonts w:eastAsia="宋体"/>
      <w:szCs w:val="20"/>
    </w:rPr>
  </w:style>
  <w:style w:type="paragraph" w:customStyle="1" w:styleId="288">
    <w:name w:val="Normal_0"/>
    <w:qFormat/>
    <w:uiPriority w:val="99"/>
    <w:pPr>
      <w:spacing w:before="120" w:after="240"/>
      <w:jc w:val="both"/>
    </w:pPr>
    <w:rPr>
      <w:rFonts w:ascii="Calibri" w:hAnsi="Calibri" w:eastAsia="Calibri" w:cs="Times New Roman"/>
      <w:sz w:val="22"/>
      <w:szCs w:val="22"/>
      <w:lang w:val="ru-RU" w:eastAsia="en-US" w:bidi="ar-SA"/>
    </w:rPr>
  </w:style>
  <w:style w:type="paragraph" w:customStyle="1" w:styleId="289">
    <w:name w:val="_Style 2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0">
    <w:name w:val="Char Char Char Char11"/>
    <w:basedOn w:val="1"/>
    <w:qFormat/>
    <w:uiPriority w:val="99"/>
    <w:pPr>
      <w:widowControl/>
      <w:spacing w:after="160" w:line="240" w:lineRule="exact"/>
      <w:jc w:val="left"/>
    </w:pPr>
    <w:rPr>
      <w:rFonts w:eastAsia="宋体"/>
      <w:szCs w:val="20"/>
    </w:rPr>
  </w:style>
  <w:style w:type="paragraph" w:customStyle="1" w:styleId="291">
    <w:name w:val="Char12"/>
    <w:basedOn w:val="1"/>
    <w:qFormat/>
    <w:uiPriority w:val="99"/>
    <w:rPr>
      <w:rFonts w:ascii="Tahoma" w:hAnsi="Tahoma" w:eastAsia="宋体"/>
      <w:sz w:val="24"/>
      <w:szCs w:val="20"/>
    </w:rPr>
  </w:style>
  <w:style w:type="paragraph" w:customStyle="1" w:styleId="292">
    <w:name w:val="Char111"/>
    <w:basedOn w:val="1"/>
    <w:qFormat/>
    <w:uiPriority w:val="99"/>
    <w:rPr>
      <w:rFonts w:ascii="Tahoma" w:hAnsi="Tahoma" w:eastAsia="宋体"/>
      <w:sz w:val="24"/>
      <w:szCs w:val="20"/>
    </w:rPr>
  </w:style>
  <w:style w:type="paragraph" w:customStyle="1" w:styleId="293">
    <w:name w:val="访问过的超链接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94">
    <w:name w:val="Char Char Char Char2"/>
    <w:basedOn w:val="1"/>
    <w:qFormat/>
    <w:uiPriority w:val="99"/>
    <w:pPr>
      <w:widowControl/>
      <w:spacing w:after="160" w:line="240" w:lineRule="exact"/>
      <w:jc w:val="left"/>
    </w:pPr>
    <w:rPr>
      <w:rFonts w:eastAsia="宋体"/>
      <w:szCs w:val="20"/>
    </w:rPr>
  </w:style>
  <w:style w:type="character" w:customStyle="1" w:styleId="295">
    <w:name w:val="正文文本 字符"/>
    <w:qFormat/>
    <w:uiPriority w:val="0"/>
    <w:rPr>
      <w:b/>
      <w:i/>
      <w:szCs w:val="24"/>
    </w:rPr>
  </w:style>
  <w:style w:type="paragraph" w:customStyle="1" w:styleId="296">
    <w:name w:val="纯文本2"/>
    <w:basedOn w:val="1"/>
    <w:qFormat/>
    <w:uiPriority w:val="0"/>
    <w:rPr>
      <w:rFonts w:ascii="宋体" w:hAnsi="Courier New" w:cs="Courier New"/>
      <w:szCs w:val="21"/>
    </w:rPr>
  </w:style>
  <w:style w:type="paragraph" w:customStyle="1" w:styleId="297">
    <w:name w:val="TOC 标题3"/>
    <w:basedOn w:val="3"/>
    <w:next w:val="1"/>
    <w:unhideWhenUsed/>
    <w:qFormat/>
    <w:uiPriority w:val="39"/>
    <w:pPr>
      <w:widowControl/>
      <w:adjustRightInd/>
      <w:spacing w:before="480" w:after="0" w:line="276" w:lineRule="auto"/>
      <w:jc w:val="left"/>
      <w:textAlignment w:val="auto"/>
      <w:outlineLvl w:val="9"/>
    </w:pPr>
    <w:rPr>
      <w:rFonts w:ascii="Cambria" w:hAnsi="Cambria" w:eastAsia="宋体" w:cs="Times New Roman"/>
      <w:color w:val="366091"/>
      <w:kern w:val="0"/>
      <w:sz w:val="28"/>
      <w:szCs w:val="28"/>
    </w:rPr>
  </w:style>
  <w:style w:type="paragraph" w:customStyle="1" w:styleId="298">
    <w:name w:val="正文（绿盟科技）"/>
    <w:link w:val="299"/>
    <w:qFormat/>
    <w:uiPriority w:val="0"/>
    <w:pPr>
      <w:spacing w:line="300" w:lineRule="auto"/>
    </w:pPr>
    <w:rPr>
      <w:rFonts w:ascii="Arial" w:hAnsi="Arial" w:eastAsia="宋体" w:cs="Times New Roman"/>
      <w:sz w:val="21"/>
      <w:szCs w:val="21"/>
      <w:lang w:val="en-US" w:eastAsia="zh-CN" w:bidi="ar-SA"/>
    </w:rPr>
  </w:style>
  <w:style w:type="character" w:customStyle="1" w:styleId="299">
    <w:name w:val="正文（绿盟科技） Char"/>
    <w:link w:val="298"/>
    <w:qFormat/>
    <w:uiPriority w:val="0"/>
    <w:rPr>
      <w:rFonts w:ascii="Arial" w:hAnsi="Arial"/>
      <w:sz w:val="21"/>
      <w:szCs w:val="21"/>
    </w:rPr>
  </w:style>
  <w:style w:type="paragraph" w:customStyle="1" w:styleId="300">
    <w:name w:val="TOC 标题4"/>
    <w:basedOn w:val="3"/>
    <w:next w:val="1"/>
    <w:unhideWhenUsed/>
    <w:qFormat/>
    <w:uiPriority w:val="39"/>
    <w:pPr>
      <w:widowControl/>
      <w:adjustRightInd/>
      <w:spacing w:after="0" w:line="259" w:lineRule="auto"/>
      <w:jc w:val="left"/>
      <w:textAlignment w:val="auto"/>
      <w:outlineLvl w:val="9"/>
    </w:pPr>
    <w:rPr>
      <w:rFonts w:ascii="Cambria" w:hAnsi="Cambria" w:eastAsia="宋体" w:cs="Times New Roman"/>
      <w:b w:val="0"/>
      <w:bCs w:val="0"/>
      <w:color w:val="366091"/>
      <w:kern w:val="0"/>
      <w:sz w:val="32"/>
      <w:szCs w:val="32"/>
    </w:rPr>
  </w:style>
  <w:style w:type="paragraph" w:customStyle="1" w:styleId="30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302">
    <w:name w:val="目录 81"/>
    <w:next w:val="1"/>
    <w:qFormat/>
    <w:uiPriority w:val="0"/>
    <w:pPr>
      <w:wordWrap w:val="0"/>
      <w:ind w:left="2975"/>
      <w:jc w:val="both"/>
    </w:pPr>
    <w:rPr>
      <w:rFonts w:ascii="Times New Roman" w:hAnsi="Times New Roman" w:eastAsia="宋体" w:cs="Times New Roman"/>
      <w:sz w:val="21"/>
      <w:szCs w:val="22"/>
      <w:lang w:val="en-US" w:eastAsia="zh-CN" w:bidi="ar-SA"/>
    </w:rPr>
  </w:style>
  <w:style w:type="paragraph" w:customStyle="1" w:styleId="303">
    <w:name w:val="_Style 301"/>
    <w:basedOn w:val="3"/>
    <w:next w:val="1"/>
    <w:qFormat/>
    <w:uiPriority w:val="39"/>
    <w:pPr>
      <w:widowControl/>
      <w:adjustRightInd/>
      <w:spacing w:after="0" w:line="259" w:lineRule="auto"/>
      <w:jc w:val="left"/>
      <w:textAlignment w:val="auto"/>
      <w:outlineLvl w:val="9"/>
    </w:pPr>
    <w:rPr>
      <w:rFonts w:ascii="等线 Light" w:hAnsi="等线 Light" w:eastAsia="等线 Light" w:cs="Times New Roman"/>
      <w:b w:val="0"/>
      <w:bCs w:val="0"/>
      <w:color w:val="2F5496"/>
      <w:kern w:val="0"/>
      <w:sz w:val="32"/>
      <w:szCs w:val="32"/>
    </w:rPr>
  </w:style>
  <w:style w:type="character" w:customStyle="1" w:styleId="304">
    <w:name w:val="纯文本 字符1"/>
    <w:qFormat/>
    <w:uiPriority w:val="0"/>
    <w:rPr>
      <w:rFonts w:ascii="宋体" w:hAnsi="Courier New"/>
      <w:kern w:val="2"/>
      <w:sz w:val="21"/>
    </w:rPr>
  </w:style>
  <w:style w:type="paragraph" w:customStyle="1" w:styleId="305">
    <w:name w:val="表格样式"/>
    <w:basedOn w:val="1"/>
    <w:qFormat/>
    <w:uiPriority w:val="0"/>
    <w:rPr>
      <w:rFonts w:ascii="宋体" w:hAnsi="宋体" w:eastAsia="宋体"/>
    </w:rPr>
  </w:style>
  <w:style w:type="paragraph" w:customStyle="1" w:styleId="306">
    <w:name w:val="Table Text"/>
    <w:basedOn w:val="1"/>
    <w:semiHidden/>
    <w:qFormat/>
    <w:uiPriority w:val="0"/>
    <w:pPr>
      <w:widowControl/>
      <w:kinsoku w:val="0"/>
      <w:autoSpaceDE w:val="0"/>
      <w:autoSpaceDN w:val="0"/>
      <w:adjustRightInd w:val="0"/>
      <w:snapToGrid w:val="0"/>
      <w:spacing w:before="128" w:line="228" w:lineRule="auto"/>
      <w:jc w:val="center"/>
      <w:textAlignment w:val="baseline"/>
    </w:pPr>
    <w:rPr>
      <w:rFonts w:ascii="宋体" w:hAnsi="宋体" w:eastAsia="宋体" w:cs="宋体"/>
      <w:snapToGrid w:val="0"/>
      <w:color w:val="000000"/>
      <w:kern w:val="0"/>
      <w:sz w:val="24"/>
      <w:lang w:eastAsia="en-US"/>
    </w:rPr>
  </w:style>
  <w:style w:type="paragraph" w:customStyle="1" w:styleId="307">
    <w:name w:val="p0"/>
    <w:basedOn w:val="1"/>
    <w:qFormat/>
    <w:uiPriority w:val="0"/>
    <w:pPr>
      <w:jc w:val="both"/>
    </w:pPr>
    <w:rPr>
      <w:rFonts w:ascii="Times New Roman" w:hAnsi="Times New Roman" w:cs="Times New Roman"/>
      <w:sz w:val="21"/>
      <w:szCs w:val="21"/>
    </w:rPr>
  </w:style>
  <w:style w:type="character" w:customStyle="1" w:styleId="308">
    <w:name w:val=" Char Char1"/>
    <w:link w:val="47"/>
    <w:qFormat/>
    <w:uiPriority w:val="0"/>
    <w:rPr>
      <w:rFonts w:ascii="Arial" w:hAnsi="Arial" w:eastAsia="Times New Roman"/>
      <w:b/>
      <w:kern w:val="0"/>
      <w:sz w:val="32"/>
      <w:szCs w:val="20"/>
    </w:rPr>
  </w:style>
  <w:style w:type="character" w:customStyle="1" w:styleId="309">
    <w:name w:val=" Char Char2"/>
    <w:link w:val="37"/>
    <w:qFormat/>
    <w:uiPriority w:val="0"/>
    <w:rPr>
      <w:rFonts w:ascii="Calibri Light" w:hAnsi="Calibri Light" w:cs="Times New Roman"/>
      <w:b/>
      <w:bCs/>
      <w:kern w:val="28"/>
      <w:sz w:val="32"/>
      <w:szCs w:val="32"/>
    </w:rPr>
  </w:style>
  <w:style w:type="table" w:customStyle="1" w:styleId="310">
    <w:name w:val="Table Normal"/>
    <w:unhideWhenUsed/>
    <w:qFormat/>
    <w:uiPriority w:val="0"/>
    <w:tblPr>
      <w:tblCellMar>
        <w:top w:w="0" w:type="dxa"/>
        <w:left w:w="0" w:type="dxa"/>
        <w:bottom w:w="0" w:type="dxa"/>
        <w:right w:w="0" w:type="dxa"/>
      </w:tblCellMar>
    </w:tblPr>
  </w:style>
  <w:style w:type="paragraph" w:customStyle="1" w:styleId="31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20</Pages>
  <Words>10232</Words>
  <Characters>10782</Characters>
  <Lines>24</Lines>
  <Paragraphs>6</Paragraphs>
  <TotalTime>28</TotalTime>
  <ScaleCrop>false</ScaleCrop>
  <LinksUpToDate>false</LinksUpToDate>
  <CharactersWithSpaces>12139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2021-02-26T09:10:00Z</dcterms:created>
  <dc:creator>Lv Ji_BM</dc:creator>
  <cp:lastModifiedBy>Administrator</cp:lastModifiedBy>
  <cp:lastPrinted>2024-09-24T00:21:00Z</cp:lastPrinted>
  <dcterms:modified xsi:type="dcterms:W3CDTF">2025-01-23T01:00:59Z</dcterms:modified>
  <dc:title>_x0001_</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77B87236A7114297B94E1583F4036BBA_13</vt:lpwstr>
  </property>
  <property fmtid="{D5CDD505-2E9C-101B-9397-08002B2CF9AE}" pid="4" name="KSOTemplateDocerSaveRecord">
    <vt:lpwstr>eyJoZGlkIjoiNWYxYzEwNzFlZDdiNzMxYmJmNTI0OGZhN2FjYWIwMGEifQ==</vt:lpwstr>
  </property>
</Properties>
</file>