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版本号：ZX-ZC-PC-2025-00120250311001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蒲城县渭北煤化工业园(SN-14-38)地下水国考点位水环境调查分析服务项目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ZX-ZC-PC-2025-001</w:t>
      </w:r>
      <w:r>
        <w:br/>
      </w:r>
      <w:r>
        <w:br/>
      </w:r>
      <w:r>
        <w:br/>
      </w:r>
    </w:p>
    <w:p>
      <w:pPr>
        <w:pStyle w:val="null3"/>
        <w:jc w:val="center"/>
        <w:outlineLvl w:val="2"/>
      </w:pPr>
      <w:r>
        <w:rPr>
          <w:rFonts w:ascii="仿宋_GB2312" w:hAnsi="仿宋_GB2312" w:cs="仿宋_GB2312" w:eastAsia="仿宋_GB2312"/>
          <w:sz w:val="28"/>
          <w:b/>
        </w:rPr>
        <w:t>渭南市生态环境局蒲城分局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渭南市生态环境局蒲城分局</w:t>
      </w:r>
      <w:r>
        <w:rPr>
          <w:rFonts w:ascii="仿宋_GB2312" w:hAnsi="仿宋_GB2312" w:cs="仿宋_GB2312" w:eastAsia="仿宋_GB2312"/>
        </w:rPr>
        <w:t>委托，拟对</w:t>
      </w:r>
      <w:r>
        <w:rPr>
          <w:rFonts w:ascii="仿宋_GB2312" w:hAnsi="仿宋_GB2312" w:cs="仿宋_GB2312" w:eastAsia="仿宋_GB2312"/>
        </w:rPr>
        <w:t>蒲城县渭北煤化工业园(SN-14-38)地下水国考点位水环境调查分析服务项目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ZX-ZC-PC-2025-001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蒲城县渭北煤化工业园(SN-14-38)地下水国考点位水环境调查分析服务项目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蒲城县渭北煤化工业园(SN-14-38)地下水国考点位水环境调查分析服务项目。主要功能或目标：针对区域地下水质问题分析及拟定解决方案。需满足的要求：对本区域及周边地下水污染源进行溯源分析研究，提出有针对性可操作的防治管控措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采购包1（蒲城县渭北煤化工业园(SN-14-38)地下水国考点位水环境调查分析服务项目）：属于专门面向中小企业采购。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或2024年度的财务报表（至少包括资产负债表和利润表，成立时间至提交响应文件截止时间不足一年的可提供成立后任意时段的资产负债表），或其基本存款账户开户银行出具的资信证明及基本存款账户开户证明；</w:t>
      </w:r>
    </w:p>
    <w:p>
      <w:pPr>
        <w:pStyle w:val="null3"/>
      </w:pPr>
      <w:r>
        <w:rPr>
          <w:rFonts w:ascii="仿宋_GB2312" w:hAnsi="仿宋_GB2312" w:cs="仿宋_GB2312" w:eastAsia="仿宋_GB2312"/>
        </w:rPr>
        <w:t>3、税收缴纳证明：：提供近六个月已缴纳的任意一个月的增值税或营业税或企业所得税的凭据或完税证明；依法免税的投标人应提供相关证明文件；</w:t>
      </w:r>
    </w:p>
    <w:p>
      <w:pPr>
        <w:pStyle w:val="null3"/>
      </w:pPr>
      <w:r>
        <w:rPr>
          <w:rFonts w:ascii="仿宋_GB2312" w:hAnsi="仿宋_GB2312" w:cs="仿宋_GB2312" w:eastAsia="仿宋_GB2312"/>
        </w:rPr>
        <w:t>4、社会保障资金缴纳证明：提供2024年6月至今至少一个月的社会保障资金缴存单据或社保机构开具的社会保险参保缴费情况证明，依法不需要缴纳社会保障资金的单位应提供相关证明材料；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5、无违纪声明：提供参加本次政府采购活动前三年内在经营活动中没有重大违法记录的书面声明</w:t>
      </w:r>
    </w:p>
    <w:p>
      <w:pPr>
        <w:pStyle w:val="null3"/>
      </w:pPr>
      <w:r>
        <w:rPr>
          <w:rFonts w:ascii="仿宋_GB2312" w:hAnsi="仿宋_GB2312" w:cs="仿宋_GB2312" w:eastAsia="仿宋_GB2312"/>
        </w:rPr>
        <w:t>6、设备和专业技术能力的书面承诺：提供具有履行本合同所必须的设备和专业技术能力的书面承诺</w:t>
      </w:r>
    </w:p>
    <w:p>
      <w:pPr>
        <w:pStyle w:val="null3"/>
      </w:pPr>
      <w:r>
        <w:rPr>
          <w:rFonts w:ascii="仿宋_GB2312" w:hAnsi="仿宋_GB2312" w:cs="仿宋_GB2312" w:eastAsia="仿宋_GB2312"/>
        </w:rPr>
        <w:t>7、中小企业声明函：供应商应提供中小企业声明函</w:t>
      </w:r>
    </w:p>
    <w:p>
      <w:pPr>
        <w:pStyle w:val="null3"/>
      </w:pPr>
      <w:r>
        <w:rPr>
          <w:rFonts w:ascii="仿宋_GB2312" w:hAnsi="仿宋_GB2312" w:cs="仿宋_GB2312" w:eastAsia="仿宋_GB2312"/>
        </w:rPr>
        <w:t>8、法定代表人授权书：法定代表人授权书（附法定代表人、被授权人身份证复印件）及被授权人身份证（法定代表人参加磋商只需提供本人身份证）；其他形式供应商参照法人企业执行</w:t>
      </w:r>
    </w:p>
    <w:p>
      <w:pPr>
        <w:pStyle w:val="null3"/>
      </w:pPr>
      <w:r>
        <w:rPr>
          <w:rFonts w:ascii="仿宋_GB2312" w:hAnsi="仿宋_GB2312" w:cs="仿宋_GB2312" w:eastAsia="仿宋_GB2312"/>
        </w:rPr>
        <w:t>9、专业技术能力证明：项目负责人应具备注册环评工程师资质</w:t>
      </w:r>
    </w:p>
    <w:p>
      <w:pPr>
        <w:pStyle w:val="null3"/>
      </w:pPr>
      <w:r>
        <w:rPr>
          <w:rFonts w:ascii="仿宋_GB2312" w:hAnsi="仿宋_GB2312" w:cs="仿宋_GB2312" w:eastAsia="仿宋_GB2312"/>
        </w:rPr>
        <w:t>10、无严重违纪：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11、联合体及分包声明：本项目不接受联合体响应，不允许分包（提供非联合体及不分包声明）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渭南市生态环境局蒲城分局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蒲城县东风街东段环保局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渭南市生态环境局蒲城分局经办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18991670615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王莹，王超，王涛，李博飞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0913-7203886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开户名称：中昕国际项目管理有限公司</w:t>
            </w:r>
          </w:p>
          <w:p>
            <w:pPr>
              <w:pStyle w:val="null3"/>
            </w:pPr>
            <w:r>
              <w:rPr>
                <w:rFonts w:ascii="仿宋_GB2312" w:hAnsi="仿宋_GB2312" w:cs="仿宋_GB2312" w:eastAsia="仿宋_GB2312"/>
              </w:rPr>
              <w:t>开户银行：平安银行西安经济技术开发区支行</w:t>
            </w:r>
          </w:p>
          <w:p>
            <w:pPr>
              <w:pStyle w:val="null3"/>
            </w:pPr>
            <w:r>
              <w:rPr>
                <w:rFonts w:ascii="仿宋_GB2312" w:hAnsi="仿宋_GB2312" w:cs="仿宋_GB2312" w:eastAsia="仿宋_GB2312"/>
              </w:rPr>
              <w:t>银行账号：30201687007806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代理服务费收费标准：根据国家财政部、国家计委、国家物价局(2002)1980号，国家发改委(2003)857号等文件规定收取，由中标人在领取中标通知书前一次性全额付清。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渭南市生态环境局蒲城分局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渭南市生态环境局蒲城分局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渭南市生态环境局蒲城分局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联系电话：0913-7203886</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蒲城县渭北煤化工业园(SN-14-38)地下水国考点位水环境调查分析服务项目。主要功能或目标：针对区域地下水质问题分析及拟定解决方案。需满足的要求：对本区域及周边地下水污染源进行溯源分析研究，提出有针对性可操作的防治管控措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蒲城县渭北煤化工业园(SN-14-38)地下水国考点位水环境调查分析服务项目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标的名称：蒲城县渭北煤化工业园(SN-14-38)地下水国考点位水环境调查分析服务项目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蒲城县渭北煤化工业园(SN-14-38)地下水国考点位水环境调查分析服务项目。主要功能或目标：针对区域地下水质问题分析及拟定解决方案。需满足的要求：对本区域及周边地下水污染源进行溯源分析研究，提出有针对性可操作的防治管控措施。</w:t>
            </w:r>
          </w:p>
          <w:p>
            <w:pPr>
              <w:pStyle w:val="null3"/>
            </w:pPr>
            <w:r>
              <w:rPr>
                <w:rFonts w:ascii="仿宋_GB2312" w:hAnsi="仿宋_GB2312" w:cs="仿宋_GB2312" w:eastAsia="仿宋_GB2312"/>
              </w:rPr>
              <w:t>二、基本要求</w:t>
            </w:r>
          </w:p>
          <w:p>
            <w:pPr>
              <w:pStyle w:val="null3"/>
            </w:pPr>
            <w:r>
              <w:rPr>
                <w:rFonts w:ascii="仿宋_GB2312" w:hAnsi="仿宋_GB2312" w:cs="仿宋_GB2312" w:eastAsia="仿宋_GB2312"/>
              </w:rPr>
              <w:t>1、功能要求:蒲城县渭北煤化工业园(SN-14-38)地下水国考点位水环境调查分析服务项目</w:t>
            </w:r>
          </w:p>
          <w:p>
            <w:pPr>
              <w:pStyle w:val="null3"/>
            </w:pPr>
            <w:r>
              <w:rPr>
                <w:rFonts w:ascii="仿宋_GB2312" w:hAnsi="仿宋_GB2312" w:cs="仿宋_GB2312" w:eastAsia="仿宋_GB2312"/>
              </w:rPr>
              <w:t>2、落实政府采购政策需满足的资格要求:</w:t>
            </w:r>
          </w:p>
          <w:p>
            <w:pPr>
              <w:pStyle w:val="null3"/>
            </w:pPr>
            <w:r>
              <w:rPr>
                <w:rFonts w:ascii="仿宋_GB2312" w:hAnsi="仿宋_GB2312" w:cs="仿宋_GB2312" w:eastAsia="仿宋_GB2312"/>
              </w:rPr>
              <w:t>（1）《财政部国家发展改革委关于印发〈节能产品政府采购实施意见〉的通知》（财库〔2004〕185号）；</w:t>
            </w:r>
          </w:p>
          <w:p>
            <w:pPr>
              <w:pStyle w:val="null3"/>
            </w:pPr>
            <w:r>
              <w:rPr>
                <w:rFonts w:ascii="仿宋_GB2312" w:hAnsi="仿宋_GB2312" w:cs="仿宋_GB2312" w:eastAsia="仿宋_GB2312"/>
              </w:rPr>
              <w:t>（2）《国务院办公厅关于建立政府强制采购节能产品制度的通知》（国办发〔2007〕51号）；</w:t>
            </w:r>
          </w:p>
          <w:p>
            <w:pPr>
              <w:pStyle w:val="null3"/>
            </w:pPr>
            <w:r>
              <w:rPr>
                <w:rFonts w:ascii="仿宋_GB2312" w:hAnsi="仿宋_GB2312" w:cs="仿宋_GB2312" w:eastAsia="仿宋_GB2312"/>
              </w:rPr>
              <w:t>（3）《财政部环保总局关于环境标志产品政府采购实施的意见》（财库〔2006〕90号）；</w:t>
            </w:r>
          </w:p>
          <w:p>
            <w:pPr>
              <w:pStyle w:val="null3"/>
            </w:pPr>
            <w:r>
              <w:rPr>
                <w:rFonts w:ascii="仿宋_GB2312" w:hAnsi="仿宋_GB2312" w:cs="仿宋_GB2312" w:eastAsia="仿宋_GB2312"/>
              </w:rPr>
              <w:t>（4）《政府采购促进中小企业发展暂行办法》（财库【2020】46号）；</w:t>
            </w:r>
          </w:p>
          <w:p>
            <w:pPr>
              <w:pStyle w:val="null3"/>
            </w:pPr>
            <w:r>
              <w:rPr>
                <w:rFonts w:ascii="仿宋_GB2312" w:hAnsi="仿宋_GB2312" w:cs="仿宋_GB2312" w:eastAsia="仿宋_GB2312"/>
              </w:rPr>
              <w:t>（5）《财政部司法部关于政府采购支持监狱企业发展有关问题的通知》（财库〔2014〕68号）；</w:t>
            </w:r>
          </w:p>
          <w:p>
            <w:pPr>
              <w:pStyle w:val="null3"/>
            </w:pPr>
            <w:r>
              <w:rPr>
                <w:rFonts w:ascii="仿宋_GB2312" w:hAnsi="仿宋_GB2312" w:cs="仿宋_GB2312" w:eastAsia="仿宋_GB2312"/>
              </w:rPr>
              <w:t>（6）《三部门联合发布关于促进残疾人就业政府采购政策的通知》（财库〔2017〕141号）；</w:t>
            </w:r>
          </w:p>
          <w:p>
            <w:pPr>
              <w:pStyle w:val="null3"/>
            </w:pPr>
            <w:r>
              <w:rPr>
                <w:rFonts w:ascii="仿宋_GB2312" w:hAnsi="仿宋_GB2312" w:cs="仿宋_GB2312" w:eastAsia="仿宋_GB2312"/>
              </w:rPr>
              <w:t>（7）《财政部发展改革委生态环境部市场监管总局关于调整优化节能产品、环境标志产品政府采购执行机制的通知》（财库〔2019〕9号）；</w:t>
            </w:r>
          </w:p>
          <w:p>
            <w:pPr>
              <w:pStyle w:val="null3"/>
            </w:pPr>
            <w:r>
              <w:rPr>
                <w:rFonts w:ascii="仿宋_GB2312" w:hAnsi="仿宋_GB2312" w:cs="仿宋_GB2312" w:eastAsia="仿宋_GB2312"/>
              </w:rPr>
              <w:t>（8）《财政部国务院扶贫办关于运用政府采购政策支持脱贫攻坚的通知》（财库〔2019〕27号）；</w:t>
            </w:r>
          </w:p>
          <w:p>
            <w:pPr>
              <w:pStyle w:val="null3"/>
            </w:pPr>
            <w:r>
              <w:rPr>
                <w:rFonts w:ascii="仿宋_GB2312" w:hAnsi="仿宋_GB2312" w:cs="仿宋_GB2312" w:eastAsia="仿宋_GB2312"/>
              </w:rPr>
              <w:t>（9）《陕西省中小企业政府采购信用融资办法》（陕财办采〔2018〕23号）等；</w:t>
            </w:r>
          </w:p>
          <w:p>
            <w:pPr>
              <w:pStyle w:val="null3"/>
            </w:pPr>
            <w:r>
              <w:rPr>
                <w:rFonts w:ascii="仿宋_GB2312" w:hAnsi="仿宋_GB2312" w:cs="仿宋_GB2312" w:eastAsia="仿宋_GB2312"/>
              </w:rPr>
              <w:t>（10）《财政部关于进一步加大政府采购支持中小企业力度的通知》（财库〔2022〕19号）；</w:t>
            </w:r>
          </w:p>
          <w:p>
            <w:pPr>
              <w:pStyle w:val="null3"/>
            </w:pPr>
            <w:r>
              <w:rPr>
                <w:rFonts w:ascii="仿宋_GB2312" w:hAnsi="仿宋_GB2312" w:cs="仿宋_GB2312" w:eastAsia="仿宋_GB2312"/>
              </w:rPr>
              <w:t>（11）《陕西省财政厅关于进一步优化政府采购营商环境有关事项的通知》（陕财办采〔2023〕4号）；</w:t>
            </w:r>
          </w:p>
          <w:p>
            <w:pPr>
              <w:pStyle w:val="null3"/>
            </w:pPr>
            <w:r>
              <w:rPr>
                <w:rFonts w:ascii="仿宋_GB2312" w:hAnsi="仿宋_GB2312" w:cs="仿宋_GB2312" w:eastAsia="仿宋_GB2312"/>
              </w:rPr>
              <w:t>（12）政府采购落实的其他政策。</w:t>
            </w:r>
          </w:p>
          <w:p>
            <w:pPr>
              <w:pStyle w:val="null3"/>
            </w:pPr>
            <w:r>
              <w:rPr>
                <w:rFonts w:ascii="仿宋_GB2312" w:hAnsi="仿宋_GB2312" w:cs="仿宋_GB2312" w:eastAsia="仿宋_GB2312"/>
              </w:rPr>
              <w:t>3、服务期限:180日历天</w:t>
            </w:r>
          </w:p>
          <w:p>
            <w:pPr>
              <w:pStyle w:val="null3"/>
            </w:pPr>
            <w:r>
              <w:rPr>
                <w:rFonts w:ascii="仿宋_GB2312" w:hAnsi="仿宋_GB2312" w:cs="仿宋_GB2312" w:eastAsia="仿宋_GB2312"/>
              </w:rPr>
              <w:t>4、地点:渭南市蒲城县</w:t>
            </w:r>
          </w:p>
          <w:p>
            <w:pPr>
              <w:pStyle w:val="null3"/>
            </w:pPr>
            <w:r>
              <w:rPr>
                <w:rFonts w:ascii="仿宋_GB2312" w:hAnsi="仿宋_GB2312" w:cs="仿宋_GB2312" w:eastAsia="仿宋_GB2312"/>
              </w:rPr>
              <w:t>三、需执行的国家相关标准、行业标准或者其他标准、规范标准</w:t>
            </w:r>
          </w:p>
          <w:p>
            <w:pPr>
              <w:pStyle w:val="null3"/>
            </w:pPr>
            <w:r>
              <w:rPr>
                <w:rFonts w:ascii="仿宋_GB2312" w:hAnsi="仿宋_GB2312" w:cs="仿宋_GB2312" w:eastAsia="仿宋_GB2312"/>
              </w:rPr>
              <w:t>《“十四五”土壤、地下水和农村生态环境保护规划》（环土壤【2021】120号）、《“十四五”国家地下水环境质量考核点位监测与评价方案(试行)》（环办监测【2021】15号）、《陕西省地下水污染防治实施方案》（陕环发【2020】14号）、《陕西省“十四五”土壤、地下水和农村生态环境保护规划》（陕环发【2022】11号）、《关于做好国家地下水环境质量考核点位水质目标管理工作的通知》（陕环土壤【2023】4号）、《陕西省地下水国考点位水质达标或保持(改善)方案编制指南(试行)》《国家地下水环境质量考核点位管理办法(试行)》（环办监测(2022)22号）、《关于加强国家地下水质量考核点位水质目标管理的通知》（渭环通【2024】46号）和《地下水质量标准》(GB/T14848-2017)《重点监管单位土壤污染隐患排查指南(试行)》《工业企业土壤和地下水自行监测技术指南(试行)》《地下水环境状况调查评价工作指南》（环办土壤函【2019】770号）等。</w:t>
            </w:r>
          </w:p>
          <w:p>
            <w:pPr>
              <w:pStyle w:val="null3"/>
            </w:pPr>
            <w:r>
              <w:rPr>
                <w:rFonts w:ascii="仿宋_GB2312" w:hAnsi="仿宋_GB2312" w:cs="仿宋_GB2312" w:eastAsia="仿宋_GB2312"/>
              </w:rPr>
              <w:t>四、服务指标的具体要求</w:t>
            </w:r>
          </w:p>
          <w:p>
            <w:pPr>
              <w:pStyle w:val="null3"/>
            </w:pPr>
            <w:r>
              <w:rPr>
                <w:rFonts w:ascii="仿宋_GB2312" w:hAnsi="仿宋_GB2312" w:cs="仿宋_GB2312" w:eastAsia="仿宋_GB2312"/>
              </w:rPr>
              <w:t>1、项目概况:蒲城县渭北煤化工业园(SN-14-38)地下水国考点位水环境调查分析服务项目;</w:t>
            </w:r>
          </w:p>
          <w:p>
            <w:pPr>
              <w:pStyle w:val="null3"/>
            </w:pPr>
            <w:r>
              <w:rPr>
                <w:rFonts w:ascii="仿宋_GB2312" w:hAnsi="仿宋_GB2312" w:cs="仿宋_GB2312" w:eastAsia="仿宋_GB2312"/>
              </w:rPr>
              <w:t>2、服务内容:蒲城县渭北煤化工业园(SN-14-38)地下水国考点位水环境调查分析服务项目。</w:t>
            </w:r>
          </w:p>
          <w:p>
            <w:pPr>
              <w:pStyle w:val="null3"/>
            </w:pPr>
            <w:r>
              <w:rPr>
                <w:rFonts w:ascii="仿宋_GB2312" w:hAnsi="仿宋_GB2312" w:cs="仿宋_GB2312" w:eastAsia="仿宋_GB2312"/>
              </w:rPr>
              <w:t>3、服务要求:调查分析应具有真实性、针对性、科学性、可操作性，对国考点位及周边开展基本情况、地质地貌、水文、潜在污染源、历史及现状环境状况调查等，尊重科学规律，综合分析研判地下水国考点水环境现状问题。还须满足行业主管部门项目审批要求及采购人需求。</w:t>
            </w:r>
          </w:p>
          <w:p>
            <w:pPr>
              <w:pStyle w:val="null3"/>
            </w:pPr>
            <w:r>
              <w:rPr>
                <w:rFonts w:ascii="仿宋_GB2312" w:hAnsi="仿宋_GB2312" w:cs="仿宋_GB2312" w:eastAsia="仿宋_GB2312"/>
              </w:rPr>
              <w:t>五、服务质量、标准、期限、效率等要求</w:t>
            </w:r>
          </w:p>
          <w:p>
            <w:pPr>
              <w:pStyle w:val="null3"/>
            </w:pPr>
            <w:r>
              <w:rPr>
                <w:rFonts w:ascii="仿宋_GB2312" w:hAnsi="仿宋_GB2312" w:cs="仿宋_GB2312" w:eastAsia="仿宋_GB2312"/>
              </w:rPr>
              <w:t>1、投标人严格按照采购需求进行服务，保证不出现第三方侵权等问题。</w:t>
            </w:r>
          </w:p>
          <w:p>
            <w:pPr>
              <w:pStyle w:val="null3"/>
            </w:pPr>
            <w:r>
              <w:rPr>
                <w:rFonts w:ascii="仿宋_GB2312" w:hAnsi="仿宋_GB2312" w:cs="仿宋_GB2312" w:eastAsia="仿宋_GB2312"/>
              </w:rPr>
              <w:t>2、投标人在服务过程中若发现异常情况，应立即向采购人及有关部门汇报，并提出处理意见。</w:t>
            </w:r>
          </w:p>
          <w:p>
            <w:pPr>
              <w:pStyle w:val="null3"/>
            </w:pPr>
            <w:r>
              <w:rPr>
                <w:rFonts w:ascii="仿宋_GB2312" w:hAnsi="仿宋_GB2312" w:cs="仿宋_GB2312" w:eastAsia="仿宋_GB2312"/>
              </w:rPr>
              <w:t>3、在规定的服务期限内完成项目所需服务。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报告编制完成，最终版成果递交相关行政部门验收合格后，付合同款项的100%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报表（至少包括资产负债表和利润表，成立时间至提交响应文件截止时间不足一年的可提供成立后任意时段的资产负债表），或其基本存款账户开户银行出具的资信证明及基本存款账户开户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提供近六个月已缴纳的任意一个月的增值税或营业税或企业所得税的凭据或完税证明；依法免税的投标人应提供相关证明文件；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无违纪声明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设备和专业技术能力的书面承诺</w:t>
            </w:r>
          </w:p>
        </w:tc>
        <w:tc>
          <w:tcPr>
            <w:tcW w:type="dxa" w:w="3322"/>
          </w:tcPr>
          <w:p>
            <w:pPr>
              <w:pStyle w:val="null3"/>
            </w:pPr>
            <w:r>
              <w:rPr>
                <w:rFonts w:ascii="仿宋_GB2312" w:hAnsi="仿宋_GB2312" w:cs="仿宋_GB2312" w:eastAsia="仿宋_GB2312"/>
              </w:rPr>
              <w:t>提供具有履行本合同所必须的设备和专业技术能力的书面承诺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供应商应提供中小企业声明函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法定代表人授权书（附法定代表人、被授权人身份证复印件）及被授权人身份证（法定代表人参加磋商只需提供本人身份证）；其他形式供应商参照法人企业执行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项目负责人应具备注册环评工程师资质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无严重违纪</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联合体及分包声明</w:t>
            </w:r>
          </w:p>
        </w:tc>
        <w:tc>
          <w:tcPr>
            <w:tcW w:type="dxa" w:w="3322"/>
          </w:tcPr>
          <w:p>
            <w:pPr>
              <w:pStyle w:val="null3"/>
            </w:pPr>
            <w:r>
              <w:rPr>
                <w:rFonts w:ascii="仿宋_GB2312" w:hAnsi="仿宋_GB2312" w:cs="仿宋_GB2312" w:eastAsia="仿宋_GB2312"/>
              </w:rPr>
              <w:t>本项目不接受联合体响应，不允许分包（提供非联合体及不分包声明）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产品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对项目情况分析认识切合实际、合理，工作实施重点难点理解程度高，描述准确计6～10分；对项目情况分析认识较为实际、合理，对普查工作实施重点难点理解程度比较高，描述比较准确计0～5分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针对本项目制订总体方案：方案描述详细，架构完整，满足国家规范及磋商文件要求，能充分体现项目需求计16～20分；总体方案描述一般，基本满足的计9～15分；总体方案描述不详细，较差的计0～8分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服务工作重点、难点分析</w:t>
            </w:r>
          </w:p>
        </w:tc>
        <w:tc>
          <w:tcPr>
            <w:tcW w:type="dxa" w:w="2492"/>
          </w:tcPr>
          <w:p>
            <w:pPr>
              <w:pStyle w:val="null3"/>
            </w:pPr>
            <w:r>
              <w:rPr>
                <w:rFonts w:ascii="仿宋_GB2312" w:hAnsi="仿宋_GB2312" w:cs="仿宋_GB2312" w:eastAsia="仿宋_GB2312"/>
              </w:rPr>
              <w:t>对本项目工作重点、难点的分析清晰明确、详细具体、有针对性，并有相应的解决方案，根据响应程度综合计分（0-10分）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针对本项目服务特点具有合理可行的应急措施预案，根据响应程度综合计分（0-5分）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针对各阶段的工作具有合理可靠的质量、安全、进度等的技术保证措施，能够完全满足或优于项目要求计5-3分，基本满足项目需求计2-1分，不能满足项目需求计0分）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针对本项目服务工作所提出的合理化建议的全面性、可行性、必要性等情况进行综合赋分。根据响应程度综合计分（0-5分）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项目实施进度计划合理，可操作性强，针对特殊情况有应急方案及措施，据响应程度综合计分（0-5分）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(1)根据供应商获得的各类资质证书和荣誉证书打分，根据响应程度综合计分（0-5分）。(提供复印件加盖公章) (2)根据服务团队人员实力(职称环评、环保工程师证书等)，据响应程度综合计分（0-6分）。 (提供人员证书、社保的复印件或者社保局相关证明加盖公章)</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供应商提供2020年至今的类似项目业绩，每提供1份得3分，最高得9分。业绩证明（以磋商响应文件中提供的合同或中标通知书为准）弄虚作假者，取消其中标资格。本项最高得9分。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