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09678">
      <w:pPr>
        <w:spacing w:line="500" w:lineRule="atLeast"/>
        <w:jc w:val="center"/>
        <w:outlineLvl w:val="2"/>
        <w:rPr>
          <w:rFonts w:ascii="仿宋" w:hAnsi="仿宋" w:eastAsia="仿宋" w:cs="仿宋"/>
          <w:b/>
          <w:bCs/>
          <w:sz w:val="36"/>
          <w:szCs w:val="36"/>
          <w:highlight w:val="none"/>
        </w:rPr>
      </w:pPr>
      <w:r>
        <w:rPr>
          <w:rFonts w:hint="eastAsia" w:ascii="仿宋" w:hAnsi="仿宋" w:eastAsia="仿宋" w:cs="仿宋"/>
          <w:b/>
          <w:bCs/>
          <w:sz w:val="36"/>
          <w:szCs w:val="36"/>
          <w:highlight w:val="none"/>
        </w:rPr>
        <w:t>供应商资格证明文件</w:t>
      </w:r>
    </w:p>
    <w:p w14:paraId="6EF0DAAB">
      <w:pPr>
        <w:spacing w:line="500" w:lineRule="exact"/>
        <w:rPr>
          <w:rFonts w:ascii="仿宋" w:hAnsi="仿宋" w:eastAsia="仿宋" w:cs="仿宋"/>
          <w:b/>
          <w:bCs/>
          <w:sz w:val="28"/>
          <w:szCs w:val="28"/>
          <w:highlight w:val="none"/>
        </w:rPr>
      </w:pPr>
      <w:r>
        <w:rPr>
          <w:rFonts w:hint="eastAsia" w:ascii="仿宋" w:hAnsi="仿宋" w:eastAsia="仿宋" w:cs="仿宋"/>
          <w:b/>
          <w:bCs/>
          <w:sz w:val="28"/>
          <w:szCs w:val="28"/>
          <w:highlight w:val="none"/>
        </w:rPr>
        <w:t>资格要求：</w:t>
      </w:r>
    </w:p>
    <w:p w14:paraId="45505D78">
      <w:pPr>
        <w:pStyle w:val="11"/>
        <w:keepNext w:val="0"/>
        <w:keepLines w:val="0"/>
        <w:pageBreakBefore w:val="0"/>
        <w:widowControl/>
        <w:numPr>
          <w:ilvl w:val="0"/>
          <w:numId w:val="1"/>
        </w:numPr>
        <w:kinsoku/>
        <w:wordWrap/>
        <w:overflowPunct/>
        <w:topLinePunct w:val="0"/>
        <w:autoSpaceDE/>
        <w:autoSpaceDN/>
        <w:bidi w:val="0"/>
        <w:adjustRightInd/>
        <w:snapToGrid/>
        <w:spacing w:before="0" w:after="0" w:line="480" w:lineRule="exact"/>
        <w:ind w:left="0" w:leftChars="0" w:firstLine="560" w:firstLineChars="0"/>
        <w:textAlignment w:val="auto"/>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满足《中华人民共和国政府采购法》第二十二条规定；</w:t>
      </w:r>
    </w:p>
    <w:p w14:paraId="7AD896C5">
      <w:pPr>
        <w:pStyle w:val="11"/>
        <w:keepNext w:val="0"/>
        <w:keepLines w:val="0"/>
        <w:pageBreakBefore w:val="0"/>
        <w:widowControl/>
        <w:numPr>
          <w:ilvl w:val="0"/>
          <w:numId w:val="0"/>
        </w:numPr>
        <w:kinsoku/>
        <w:wordWrap/>
        <w:overflowPunct/>
        <w:topLinePunct w:val="0"/>
        <w:autoSpaceDE/>
        <w:autoSpaceDN/>
        <w:bidi w:val="0"/>
        <w:adjustRightInd/>
        <w:snapToGrid/>
        <w:spacing w:before="0" w:after="0" w:line="480" w:lineRule="exact"/>
        <w:ind w:left="0" w:firstLine="560" w:firstLineChars="200"/>
        <w:textAlignment w:val="auto"/>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lang w:val="en-US" w:eastAsia="zh-CN"/>
        </w:rPr>
        <w:t>2、</w:t>
      </w:r>
      <w:r>
        <w:rPr>
          <w:rFonts w:hint="eastAsia" w:ascii="仿宋" w:hAnsi="仿宋" w:eastAsia="仿宋" w:cs="仿宋"/>
          <w:sz w:val="28"/>
          <w:szCs w:val="28"/>
          <w:highlight w:val="none"/>
          <w:shd w:val="clear" w:color="auto" w:fill="FFFFFF"/>
        </w:rPr>
        <w:t>本项目的特定资格要求：（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322D0A11">
      <w:pPr>
        <w:keepNext w:val="0"/>
        <w:keepLines w:val="0"/>
        <w:pageBreakBefore w:val="0"/>
        <w:widowControl/>
        <w:numPr>
          <w:ilvl w:val="0"/>
          <w:numId w:val="0"/>
        </w:numPr>
        <w:tabs>
          <w:tab w:val="left" w:pos="1834"/>
        </w:tabs>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2</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rPr>
        <w:t>法定代表人授权委托书（附法定代表人身份证复印件）及被授权委托人身份证（法定代表人参加投标只须提供法定代表人身份证）；</w:t>
      </w:r>
    </w:p>
    <w:p w14:paraId="24B302C4">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w:t>
      </w:r>
      <w:r>
        <w:rPr>
          <w:rFonts w:hint="eastAsia" w:ascii="仿宋" w:hAnsi="仿宋" w:eastAsia="仿宋" w:cs="仿宋"/>
          <w:color w:val="auto"/>
          <w:kern w:val="0"/>
          <w:sz w:val="28"/>
          <w:szCs w:val="28"/>
          <w:highlight w:val="none"/>
          <w:lang w:eastAsia="zh-CN"/>
        </w:rPr>
        <w:t>提供2023年度</w:t>
      </w:r>
      <w:r>
        <w:rPr>
          <w:rFonts w:hint="eastAsia" w:ascii="仿宋" w:hAnsi="仿宋" w:eastAsia="仿宋" w:cs="仿宋"/>
          <w:color w:val="auto"/>
          <w:kern w:val="0"/>
          <w:sz w:val="28"/>
          <w:szCs w:val="28"/>
          <w:highlight w:val="none"/>
        </w:rPr>
        <w:t>经审计的财务报告或开标前六个月内其基本账户银行出具的资信证明或财政部门认可的政府采购专业担保机构出具的担保函；</w:t>
      </w:r>
    </w:p>
    <w:p w14:paraId="45F3012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w:t>
      </w:r>
      <w:r>
        <w:rPr>
          <w:rFonts w:hint="eastAsia" w:ascii="仿宋" w:hAnsi="仿宋" w:eastAsia="仿宋" w:cs="仿宋"/>
          <w:color w:val="auto"/>
          <w:kern w:val="0"/>
          <w:sz w:val="28"/>
          <w:szCs w:val="28"/>
          <w:highlight w:val="none"/>
          <w:lang w:eastAsia="zh-CN"/>
        </w:rPr>
        <w:t>提供2024年1月以来任意3个月依法缴纳税收和社会保险的相关证明材料；</w:t>
      </w:r>
      <w:r>
        <w:rPr>
          <w:rFonts w:hint="eastAsia" w:ascii="仿宋" w:hAnsi="仿宋" w:eastAsia="仿宋" w:cs="仿宋"/>
          <w:color w:val="auto"/>
          <w:kern w:val="0"/>
          <w:sz w:val="28"/>
          <w:szCs w:val="28"/>
          <w:highlight w:val="none"/>
        </w:rPr>
        <w:t>注：依法免税或不需要缴纳社会保险的供应商提供相关部门出具的证明文件;</w:t>
      </w:r>
    </w:p>
    <w:p w14:paraId="50B7FC2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5</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rPr>
        <w:t>提供具有履行合同所必需的设备和专业技术能力的承诺；</w:t>
      </w:r>
    </w:p>
    <w:p w14:paraId="3C2736B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6</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rPr>
        <w:t>提供参加政府采购活动前3年内在经营活动中没有重大违法记录的书面声明；</w:t>
      </w:r>
    </w:p>
    <w:p w14:paraId="33E4227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lang w:eastAsia="zh-CN"/>
        </w:rPr>
        <w:t>）单位负责人为同一人或者存在直接控股、管理关系的不同供应商，不得参加同一合同项下的政府采购活动；</w:t>
      </w:r>
    </w:p>
    <w:p w14:paraId="0287190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lang w:eastAsia="zh-CN"/>
        </w:rPr>
        <w:t>）供应商认为有必要提供而增加其竞争性的其它资料</w:t>
      </w:r>
      <w:r>
        <w:rPr>
          <w:rFonts w:hint="eastAsia" w:ascii="仿宋" w:hAnsi="仿宋" w:eastAsia="仿宋" w:cs="仿宋"/>
          <w:sz w:val="28"/>
          <w:szCs w:val="28"/>
          <w:highlight w:val="none"/>
        </w:rPr>
        <w:t>。</w:t>
      </w:r>
    </w:p>
    <w:p w14:paraId="5D0C49AB">
      <w:pPr>
        <w:pStyle w:val="7"/>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kern w:val="0"/>
          <w:sz w:val="28"/>
          <w:szCs w:val="28"/>
          <w:highlight w:val="none"/>
          <w:lang w:eastAsia="zh-CN"/>
        </w:rPr>
      </w:pPr>
    </w:p>
    <w:p w14:paraId="782793D7">
      <w:pPr>
        <w:pStyle w:val="7"/>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kern w:val="0"/>
          <w:sz w:val="28"/>
          <w:szCs w:val="28"/>
          <w:highlight w:val="none"/>
          <w:lang w:eastAsia="zh-CN"/>
        </w:rPr>
      </w:pPr>
      <w:r>
        <w:rPr>
          <w:rFonts w:hint="eastAsia" w:ascii="仿宋" w:hAnsi="仿宋" w:eastAsia="仿宋" w:cs="仿宋"/>
          <w:b/>
          <w:kern w:val="0"/>
          <w:sz w:val="28"/>
          <w:szCs w:val="28"/>
          <w:highlight w:val="none"/>
          <w:lang w:eastAsia="zh-CN"/>
        </w:rPr>
        <w:t>注：身份证原件现场单独递交。</w:t>
      </w:r>
    </w:p>
    <w:p w14:paraId="6F2A9F1C">
      <w:pPr>
        <w:pStyle w:val="7"/>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kern w:val="0"/>
          <w:sz w:val="28"/>
          <w:szCs w:val="28"/>
          <w:highlight w:val="none"/>
          <w:lang w:eastAsia="zh-CN"/>
        </w:rPr>
      </w:pPr>
      <w:r>
        <w:rPr>
          <w:rFonts w:hint="eastAsia" w:ascii="仿宋" w:hAnsi="仿宋" w:eastAsia="仿宋" w:cs="仿宋"/>
          <w:b/>
          <w:kern w:val="0"/>
          <w:sz w:val="28"/>
          <w:szCs w:val="28"/>
          <w:highlight w:val="none"/>
          <w:lang w:eastAsia="zh-CN"/>
        </w:rPr>
        <w:t>以上资格要求第（</w:t>
      </w:r>
      <w:r>
        <w:rPr>
          <w:rFonts w:hint="eastAsia" w:ascii="仿宋" w:hAnsi="仿宋" w:eastAsia="仿宋" w:cs="仿宋"/>
          <w:b/>
          <w:kern w:val="0"/>
          <w:sz w:val="28"/>
          <w:szCs w:val="28"/>
          <w:highlight w:val="none"/>
          <w:lang w:val="en-US" w:eastAsia="zh-CN"/>
        </w:rPr>
        <w:t>2</w:t>
      </w:r>
      <w:r>
        <w:rPr>
          <w:rFonts w:hint="eastAsia" w:ascii="仿宋" w:hAnsi="仿宋" w:eastAsia="仿宋" w:cs="仿宋"/>
          <w:b/>
          <w:kern w:val="0"/>
          <w:sz w:val="28"/>
          <w:szCs w:val="28"/>
          <w:highlight w:val="none"/>
          <w:lang w:eastAsia="zh-CN"/>
        </w:rPr>
        <w:t>）项须按照格式要求签字盖章，其余</w:t>
      </w:r>
      <w:r>
        <w:rPr>
          <w:rFonts w:hint="eastAsia" w:ascii="仿宋" w:hAnsi="仿宋" w:eastAsia="仿宋" w:cs="仿宋"/>
          <w:b/>
          <w:kern w:val="0"/>
          <w:sz w:val="28"/>
          <w:szCs w:val="28"/>
          <w:highlight w:val="none"/>
        </w:rPr>
        <w:t>每一项均为加盖单位公章的复印件或扫描件</w:t>
      </w:r>
      <w:r>
        <w:rPr>
          <w:rFonts w:hint="eastAsia" w:ascii="仿宋" w:hAnsi="仿宋" w:eastAsia="仿宋" w:cs="仿宋"/>
          <w:b/>
          <w:kern w:val="0"/>
          <w:sz w:val="28"/>
          <w:szCs w:val="28"/>
          <w:highlight w:val="none"/>
          <w:lang w:eastAsia="zh-CN"/>
        </w:rPr>
        <w:t>。</w:t>
      </w:r>
    </w:p>
    <w:p w14:paraId="5D8C22D8">
      <w:pPr>
        <w:rPr>
          <w:rFonts w:hint="eastAsia" w:ascii="仿宋" w:hAnsi="仿宋" w:eastAsia="仿宋" w:cs="仿宋"/>
          <w:b/>
          <w:kern w:val="0"/>
          <w:sz w:val="28"/>
          <w:szCs w:val="28"/>
          <w:highlight w:val="none"/>
          <w:lang w:eastAsia="zh-CN"/>
        </w:rPr>
      </w:pPr>
    </w:p>
    <w:p w14:paraId="627FCD02">
      <w:pPr>
        <w:rPr>
          <w:rFonts w:hint="eastAsia" w:ascii="仿宋" w:hAnsi="仿宋" w:eastAsia="仿宋" w:cs="仿宋"/>
          <w:b/>
          <w:kern w:val="0"/>
          <w:sz w:val="28"/>
          <w:szCs w:val="28"/>
          <w:highlight w:val="none"/>
          <w:lang w:eastAsia="zh-CN"/>
        </w:rPr>
      </w:pPr>
    </w:p>
    <w:p w14:paraId="20AE5FD1">
      <w:pPr>
        <w:rPr>
          <w:rFonts w:hint="eastAsia"/>
          <w:lang w:eastAsia="zh-CN"/>
        </w:rPr>
      </w:pPr>
    </w:p>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16146"/>
      <w:bookmarkStart w:id="1" w:name="_Toc26035"/>
      <w:bookmarkStart w:id="2" w:name="_Toc9221"/>
      <w:bookmarkStart w:id="3" w:name="_Toc8220"/>
      <w:bookmarkStart w:id="4" w:name="_Toc13114"/>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rPr>
        <w:t>供应商应具有独立承担民事责任的能力且具备向采购人提供相关货物</w:t>
      </w:r>
      <w:r>
        <w:rPr>
          <w:rFonts w:hint="eastAsia" w:ascii="仿宋" w:hAnsi="仿宋" w:eastAsia="仿宋" w:cs="仿宋"/>
          <w:szCs w:val="28"/>
          <w:highlight w:val="none"/>
          <w:lang w:eastAsia="zh-CN"/>
        </w:rPr>
        <w:t>及服务</w:t>
      </w:r>
      <w:r>
        <w:rPr>
          <w:rFonts w:hint="eastAsia" w:ascii="仿宋" w:hAnsi="仿宋" w:eastAsia="仿宋" w:cs="仿宋"/>
          <w:szCs w:val="28"/>
          <w:highlight w:val="none"/>
        </w:rPr>
        <w:t>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szCs w:val="28"/>
          <w:highlight w:val="none"/>
          <w:lang w:eastAsia="zh-CN"/>
        </w:rPr>
        <w:t>。</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30291"/>
      <w:bookmarkStart w:id="6" w:name="_Toc4554"/>
      <w:bookmarkStart w:id="7" w:name="_Toc31020"/>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20382"/>
      <w:bookmarkStart w:id="9" w:name="_Toc11742"/>
      <w:bookmarkStart w:id="10" w:name="_Toc14851"/>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提供2023年度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6828"/>
      <w:bookmarkStart w:id="12" w:name="_Toc7337"/>
      <w:bookmarkStart w:id="13" w:name="_Toc30697"/>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提供2024年1月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0146"/>
      <w:bookmarkStart w:id="15" w:name="_Toc28068"/>
      <w:bookmarkStart w:id="16" w:name="_Toc4180"/>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9440"/>
      <w:bookmarkStart w:id="18" w:name="_Toc22221"/>
      <w:bookmarkStart w:id="19" w:name="_Toc12113"/>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1078"/>
      <w:bookmarkStart w:id="21" w:name="_Toc212"/>
      <w:bookmarkStart w:id="22" w:name="_Toc5377"/>
      <w:bookmarkStart w:id="23" w:name="_Toc12163"/>
      <w:bookmarkStart w:id="24" w:name="_Toc26697"/>
      <w:bookmarkStart w:id="25" w:name="_Toc24274"/>
      <w:bookmarkStart w:id="26" w:name="_Toc20720"/>
      <w:bookmarkStart w:id="27" w:name="_Toc28906"/>
      <w:bookmarkStart w:id="28" w:name="_Toc18603"/>
      <w:bookmarkStart w:id="29" w:name="_Toc14273"/>
      <w:bookmarkStart w:id="30" w:name="_Toc1864"/>
      <w:bookmarkStart w:id="31" w:name="_Toc5363"/>
      <w:bookmarkStart w:id="32" w:name="_Toc16161"/>
      <w:bookmarkStart w:id="33" w:name="_Toc27985"/>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0DA5D6B0">
      <w:pPr>
        <w:pStyle w:val="7"/>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bookmarkStart w:id="34" w:name="_Toc9353"/>
      <w:bookmarkStart w:id="35" w:name="_Toc11097"/>
      <w:bookmarkStart w:id="36" w:name="_Toc21837"/>
      <w:r>
        <w:rPr>
          <w:rFonts w:hint="eastAsia" w:ascii="仿宋" w:hAnsi="仿宋" w:cs="仿宋"/>
          <w:b/>
          <w:bCs/>
          <w:color w:val="auto"/>
          <w:kern w:val="0"/>
          <w:sz w:val="28"/>
          <w:szCs w:val="28"/>
          <w:highlight w:val="none"/>
          <w:lang w:val="en-US" w:eastAsia="zh-CN" w:bidi="ar-SA"/>
        </w:rPr>
        <w:t>8</w:t>
      </w:r>
      <w:r>
        <w:rPr>
          <w:rFonts w:hint="eastAsia" w:ascii="仿宋" w:hAnsi="仿宋" w:eastAsia="仿宋" w:cs="仿宋"/>
          <w:b/>
          <w:bCs/>
          <w:color w:val="auto"/>
          <w:kern w:val="0"/>
          <w:sz w:val="28"/>
          <w:szCs w:val="28"/>
          <w:highlight w:val="none"/>
          <w:lang w:val="en-US" w:eastAsia="zh-CN" w:bidi="ar-SA"/>
        </w:rPr>
        <w:t>、</w:t>
      </w:r>
      <w:bookmarkEnd w:id="34"/>
      <w:bookmarkEnd w:id="35"/>
      <w:bookmarkEnd w:id="36"/>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bookmarkStart w:id="37" w:name="_GoBack"/>
      <w:bookmarkEnd w:id="37"/>
    </w:p>
    <w:p w14:paraId="46194692">
      <w:pPr>
        <w:pStyle w:val="7"/>
        <w:rPr>
          <w:rFonts w:hint="eastAsia" w:ascii="仿宋" w:hAnsi="仿宋" w:eastAsia="仿宋" w:cs="仿宋"/>
          <w:b/>
          <w:kern w:val="0"/>
          <w:sz w:val="44"/>
          <w:szCs w:val="44"/>
          <w:highlight w:val="none"/>
        </w:rPr>
      </w:pPr>
    </w:p>
    <w:p w14:paraId="637B8946">
      <w:pPr>
        <w:pStyle w:val="7"/>
        <w:rPr>
          <w:rFonts w:hint="eastAsia" w:ascii="仿宋" w:hAnsi="仿宋" w:eastAsia="仿宋" w:cs="仿宋"/>
          <w:b/>
          <w:kern w:val="0"/>
          <w:sz w:val="44"/>
          <w:szCs w:val="44"/>
          <w:highlight w:val="none"/>
        </w:rPr>
      </w:pPr>
    </w:p>
    <w:p w14:paraId="643E80D5">
      <w:pPr>
        <w:pStyle w:val="7"/>
        <w:rPr>
          <w:rFonts w:hint="eastAsia" w:ascii="仿宋" w:hAnsi="仿宋" w:eastAsia="仿宋" w:cs="仿宋"/>
          <w:b/>
          <w:kern w:val="0"/>
          <w:sz w:val="44"/>
          <w:szCs w:val="44"/>
          <w:highlight w:val="none"/>
        </w:rPr>
      </w:pPr>
    </w:p>
    <w:p w14:paraId="6374661D">
      <w:pPr>
        <w:pStyle w:val="7"/>
        <w:rPr>
          <w:rFonts w:hint="eastAsia" w:ascii="仿宋" w:hAnsi="仿宋" w:cs="仿宋"/>
          <w:b/>
          <w:kern w:val="0"/>
          <w:sz w:val="44"/>
          <w:szCs w:val="44"/>
          <w:highlight w:val="none"/>
          <w:lang w:eastAsia="zh-CN"/>
        </w:rPr>
      </w:pPr>
    </w:p>
    <w:p w14:paraId="4FC9816F">
      <w:pPr>
        <w:pStyle w:val="7"/>
        <w:rPr>
          <w:rFonts w:hint="eastAsia" w:ascii="仿宋" w:hAnsi="仿宋" w:cs="仿宋"/>
          <w:b/>
          <w:kern w:val="0"/>
          <w:sz w:val="44"/>
          <w:szCs w:val="44"/>
          <w:highlight w:val="none"/>
          <w:lang w:eastAsia="zh-CN"/>
        </w:rPr>
      </w:pPr>
    </w:p>
    <w:p w14:paraId="4C777A56">
      <w:pPr>
        <w:pStyle w:val="7"/>
        <w:rPr>
          <w:rFonts w:hint="eastAsia" w:ascii="仿宋" w:hAnsi="仿宋" w:cs="仿宋"/>
          <w:b/>
          <w:kern w:val="0"/>
          <w:sz w:val="44"/>
          <w:szCs w:val="44"/>
          <w:highlight w:val="none"/>
          <w:lang w:eastAsia="zh-CN"/>
        </w:rPr>
      </w:pPr>
    </w:p>
    <w:p w14:paraId="2F8032A5">
      <w:pPr>
        <w:pStyle w:val="7"/>
        <w:rPr>
          <w:rFonts w:hint="eastAsia" w:ascii="仿宋" w:hAnsi="仿宋" w:cs="仿宋"/>
          <w:b/>
          <w:kern w:val="0"/>
          <w:sz w:val="44"/>
          <w:szCs w:val="44"/>
          <w:highlight w:val="none"/>
          <w:lang w:eastAsia="zh-CN"/>
        </w:rPr>
      </w:pPr>
    </w:p>
    <w:p w14:paraId="2F6D14CB">
      <w:pPr>
        <w:pStyle w:val="7"/>
        <w:rPr>
          <w:rFonts w:hint="eastAsia" w:ascii="仿宋" w:hAnsi="仿宋" w:cs="仿宋"/>
          <w:b/>
          <w:kern w:val="0"/>
          <w:sz w:val="44"/>
          <w:szCs w:val="44"/>
          <w:highlight w:val="none"/>
          <w:lang w:eastAsia="zh-CN"/>
        </w:rPr>
      </w:pPr>
    </w:p>
    <w:p w14:paraId="65AEB4EC">
      <w:pPr>
        <w:pStyle w:val="7"/>
        <w:rPr>
          <w:rFonts w:hint="eastAsia" w:ascii="仿宋" w:hAnsi="仿宋" w:cs="仿宋"/>
          <w:b/>
          <w:kern w:val="0"/>
          <w:sz w:val="44"/>
          <w:szCs w:val="44"/>
          <w:highlight w:val="none"/>
          <w:lang w:eastAsia="zh-CN"/>
        </w:rPr>
      </w:pPr>
    </w:p>
    <w:p w14:paraId="599AC8D1">
      <w:pPr>
        <w:pStyle w:val="7"/>
        <w:rPr>
          <w:rFonts w:hint="eastAsia" w:ascii="仿宋" w:hAnsi="仿宋" w:cs="仿宋"/>
          <w:b/>
          <w:kern w:val="0"/>
          <w:sz w:val="44"/>
          <w:szCs w:val="44"/>
          <w:highlight w:val="none"/>
          <w:lang w:eastAsia="zh-CN"/>
        </w:rPr>
      </w:pPr>
    </w:p>
    <w:p w14:paraId="73FF4271">
      <w:pPr>
        <w:pStyle w:val="7"/>
        <w:rPr>
          <w:rFonts w:hint="eastAsia" w:ascii="仿宋" w:hAnsi="仿宋" w:cs="仿宋"/>
          <w:b/>
          <w:kern w:val="0"/>
          <w:sz w:val="44"/>
          <w:szCs w:val="44"/>
          <w:highlight w:val="none"/>
          <w:lang w:eastAsia="zh-CN"/>
        </w:rPr>
      </w:pPr>
    </w:p>
    <w:p w14:paraId="1C3148F5">
      <w:pPr>
        <w:pStyle w:val="7"/>
        <w:rPr>
          <w:rFonts w:hint="eastAsia" w:ascii="仿宋" w:hAnsi="仿宋" w:cs="仿宋"/>
          <w:b/>
          <w:kern w:val="0"/>
          <w:sz w:val="44"/>
          <w:szCs w:val="44"/>
          <w:highlight w:val="none"/>
          <w:lang w:eastAsia="zh-CN"/>
        </w:rPr>
      </w:pPr>
    </w:p>
    <w:p w14:paraId="63C1F8EA">
      <w:pPr>
        <w:pStyle w:val="7"/>
        <w:rPr>
          <w:rFonts w:hint="eastAsia" w:ascii="仿宋" w:hAnsi="仿宋" w:cs="仿宋"/>
          <w:b/>
          <w:kern w:val="0"/>
          <w:sz w:val="44"/>
          <w:szCs w:val="44"/>
          <w:highlight w:val="none"/>
          <w:lang w:eastAsia="zh-CN"/>
        </w:rPr>
      </w:pPr>
    </w:p>
    <w:p w14:paraId="59664893">
      <w:pPr>
        <w:pStyle w:val="7"/>
        <w:rPr>
          <w:rFonts w:hint="eastAsia" w:ascii="仿宋" w:hAnsi="仿宋" w:cs="仿宋"/>
          <w:b/>
          <w:kern w:val="0"/>
          <w:sz w:val="44"/>
          <w:szCs w:val="44"/>
          <w:highlight w:val="none"/>
          <w:lang w:eastAsia="zh-CN"/>
        </w:rPr>
      </w:pPr>
    </w:p>
    <w:p w14:paraId="7A543AE6">
      <w:pPr>
        <w:pStyle w:val="7"/>
        <w:rPr>
          <w:rFonts w:hint="eastAsia" w:ascii="仿宋" w:hAnsi="仿宋" w:cs="仿宋"/>
          <w:b/>
          <w:kern w:val="0"/>
          <w:sz w:val="44"/>
          <w:szCs w:val="44"/>
          <w:highlight w:val="none"/>
          <w:lang w:eastAsia="zh-CN"/>
        </w:rPr>
      </w:pPr>
    </w:p>
    <w:p w14:paraId="743D4115">
      <w:pPr>
        <w:pStyle w:val="7"/>
        <w:rPr>
          <w:rFonts w:hint="eastAsia" w:ascii="仿宋" w:hAnsi="仿宋" w:cs="仿宋"/>
          <w:b/>
          <w:kern w:val="0"/>
          <w:sz w:val="44"/>
          <w:szCs w:val="44"/>
          <w:highlight w:val="none"/>
          <w:lang w:eastAsia="zh-CN"/>
        </w:rPr>
      </w:pPr>
    </w:p>
    <w:p w14:paraId="4610547F">
      <w:pPr>
        <w:pStyle w:val="7"/>
        <w:rPr>
          <w:rFonts w:hint="eastAsia" w:ascii="仿宋" w:hAnsi="仿宋" w:cs="仿宋"/>
          <w:b/>
          <w:kern w:val="0"/>
          <w:sz w:val="44"/>
          <w:szCs w:val="44"/>
          <w:highlight w:val="none"/>
          <w:lang w:eastAsia="zh-CN"/>
        </w:rPr>
      </w:pPr>
    </w:p>
    <w:p w14:paraId="5BEDAE3F">
      <w:pPr>
        <w:pStyle w:val="7"/>
        <w:rPr>
          <w:rFonts w:hint="eastAsia" w:ascii="仿宋" w:hAnsi="仿宋" w:cs="仿宋"/>
          <w:b/>
          <w:kern w:val="0"/>
          <w:sz w:val="44"/>
          <w:szCs w:val="44"/>
          <w:highlight w:val="none"/>
          <w:lang w:eastAsia="zh-CN"/>
        </w:rPr>
      </w:pPr>
    </w:p>
    <w:p w14:paraId="128B0E3B">
      <w:pPr>
        <w:pStyle w:val="7"/>
        <w:rPr>
          <w:rFonts w:hint="eastAsia" w:ascii="仿宋" w:hAnsi="仿宋" w:cs="仿宋"/>
          <w:b/>
          <w:kern w:val="0"/>
          <w:sz w:val="44"/>
          <w:szCs w:val="44"/>
          <w:highlight w:val="none"/>
          <w:lang w:eastAsia="zh-CN"/>
        </w:rPr>
      </w:pPr>
    </w:p>
    <w:p w14:paraId="0FA9B05C">
      <w:pPr>
        <w:pStyle w:val="7"/>
        <w:rPr>
          <w:rFonts w:hint="eastAsia" w:ascii="仿宋" w:hAnsi="仿宋" w:cs="仿宋"/>
          <w:b/>
          <w:kern w:val="0"/>
          <w:sz w:val="44"/>
          <w:szCs w:val="44"/>
          <w:highlight w:val="none"/>
          <w:lang w:eastAsia="zh-CN"/>
        </w:rPr>
      </w:pPr>
    </w:p>
    <w:p w14:paraId="5511CF5D">
      <w:pPr>
        <w:pStyle w:val="7"/>
        <w:rPr>
          <w:rFonts w:hint="eastAsia" w:ascii="仿宋" w:hAnsi="仿宋" w:cs="仿宋"/>
          <w:b/>
          <w:kern w:val="0"/>
          <w:sz w:val="44"/>
          <w:szCs w:val="44"/>
          <w:highlight w:val="none"/>
          <w:lang w:eastAsia="zh-CN"/>
        </w:rPr>
      </w:pPr>
    </w:p>
    <w:p w14:paraId="17C33FEA">
      <w:pPr>
        <w:rPr>
          <w:highlight w:val="none"/>
        </w:rPr>
      </w:pPr>
    </w:p>
    <w:p w14:paraId="3A26334A">
      <w:pPr>
        <w:pStyle w:val="7"/>
        <w:rPr>
          <w:highlight w:val="none"/>
        </w:rPr>
      </w:pPr>
    </w:p>
    <w:p w14:paraId="0BFA2962">
      <w:pPr>
        <w:pStyle w:val="7"/>
        <w:rPr>
          <w:highlight w:val="none"/>
        </w:rPr>
      </w:pPr>
    </w:p>
    <w:p w14:paraId="1F365371">
      <w:pPr>
        <w:pStyle w:val="7"/>
        <w:rPr>
          <w:highlight w:val="none"/>
        </w:rPr>
      </w:pPr>
    </w:p>
    <w:p w14:paraId="571ECE3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7"/>
      <w:jc w:val="center"/>
      <w:rPr>
        <w:rFonts w:ascii="仿宋" w:hAnsi="仿宋" w:cs="仿宋"/>
      </w:rPr>
    </w:pPr>
    <w:r>
      <w:rPr>
        <w:rFonts w:ascii="仿宋" w:hAnsi="仿宋" w:cs="仿宋"/>
      </w:rPr>
      <mc:AlternateContent>
        <mc:Choice Requires="wps">
          <w:drawing>
            <wp:anchor distT="0" distB="0" distL="114300" distR="114300" simplePos="0" relativeHeight="251659264" behindDoc="0" locked="0" layoutInCell="1" allowOverlap="1">
              <wp:simplePos x="0" y="0"/>
              <wp:positionH relativeFrom="column">
                <wp:posOffset>67945</wp:posOffset>
              </wp:positionH>
              <wp:positionV relativeFrom="paragraph">
                <wp:posOffset>-28575</wp:posOffset>
              </wp:positionV>
              <wp:extent cx="6108065" cy="3810"/>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6108065" cy="381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35pt;margin-top:-2.25pt;height:0.3pt;width:480.95pt;z-index:251659264;mso-width-relative:page;mso-height-relative:page;" filled="f" stroked="t" coordsize="21600,21600" o:gfxdata="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FK1znWAAAACAEAAA8AAAAAAAAAAQAgAAAAIgAAAGRycy9kb3du&#10;cmV2LnhtbFBLAQIUABQAAAAIAIdO4kCWoqQ+AQIAAPEDAAAOAAAAAAAAAAEAIAAAACUBAABkcnMv&#10;ZTJvRG9jLnhtbFBLBQYAAAAABgAGAFkBAACYBQAAAAA=&#10;">
              <v:fill on="f" focussize="0,0"/>
              <v:stroke color="#000000" joinstyle="round"/>
              <v:imagedata o:title=""/>
              <o:lock v:ext="edit" aspectratio="f"/>
            </v:line>
          </w:pict>
        </mc:Fallback>
      </mc:AlternateContent>
    </w:r>
    <w:r>
      <w:rPr>
        <w:rFonts w:ascii="仿宋" w:hAnsi="仿宋" w:cs="仿宋"/>
      </w:rPr>
      <w:t xml:space="preserve">西安欣华联建工程咨询有限公司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C74EC8"/>
    <w:multiLevelType w:val="singleLevel"/>
    <w:tmpl w:val="DFC74EC8"/>
    <w:lvl w:ilvl="0" w:tentative="0">
      <w:start w:val="1"/>
      <w:numFmt w:val="decimal"/>
      <w:suff w:val="nothing"/>
      <w:lvlText w:val="%1、"/>
      <w:lvlJc w:val="left"/>
      <w:pPr>
        <w:ind w:left="6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49EC2782"/>
    <w:rsid w:val="4B4B7D18"/>
    <w:rsid w:val="60D03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2249</Words>
  <Characters>2292</Characters>
  <Lines>0</Lines>
  <Paragraphs>0</Paragraphs>
  <TotalTime>0</TotalTime>
  <ScaleCrop>false</ScaleCrop>
  <LinksUpToDate>false</LinksUpToDate>
  <CharactersWithSpaces>2952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嗯，就这</cp:lastModifiedBy>
  <dcterms:modified xsi:type="dcterms:W3CDTF">2025-04-10T10:57:47Z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523DAB9B55B54B9EA0600FDA94BFA582_11</vt:lpwstr>
  </property>
  <property fmtid="{D5CDD505-2E9C-101B-9397-08002B2CF9AE}" pid="4" name="KSOTemplateDocerSaveRecord">
    <vt:lpwstr>eyJoZGlkIjoiNzhjZDY0NTAwZjI5OTBmY2Q1MWRhNmFmMGU3YTczM2QiLCJ1c2VySWQiOiI1MjE2NTc3MzAifQ==</vt:lpwstr>
  </property>
</Properties>
</file>