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版本号：ZCSP-渭南市-2025-0016720250409001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2025年临展科普项目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ZCSP-渭南市-2025-00167</w:t>
      </w:r>
      <w:r>
        <w:br/>
      </w:r>
      <w:r>
        <w:br/>
      </w:r>
      <w:r>
        <w:br/>
      </w:r>
    </w:p>
    <w:p>
      <w:pPr>
        <w:pStyle w:val="null3"/>
        <w:jc w:val="center"/>
        <w:outlineLvl w:val="2"/>
      </w:pPr>
      <w:r>
        <w:rPr>
          <w:rFonts w:ascii="仿宋_GB2312" w:hAnsi="仿宋_GB2312" w:cs="仿宋_GB2312" w:eastAsia="仿宋_GB2312"/>
          <w:sz w:val="28"/>
          <w:b/>
        </w:rPr>
        <w:t>渭南市科技馆</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渭南市科技馆</w:t>
      </w:r>
      <w:r>
        <w:rPr>
          <w:rFonts w:ascii="仿宋_GB2312" w:hAnsi="仿宋_GB2312" w:cs="仿宋_GB2312" w:eastAsia="仿宋_GB2312"/>
        </w:rPr>
        <w:t>委托，拟对</w:t>
      </w:r>
      <w:r>
        <w:rPr>
          <w:rFonts w:ascii="仿宋_GB2312" w:hAnsi="仿宋_GB2312" w:cs="仿宋_GB2312" w:eastAsia="仿宋_GB2312"/>
        </w:rPr>
        <w:t>2025年临展科普项目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ZCSP-渭南市-2025-00167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2025年临展科普项目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以AI人工智能为主题，完成市科技馆400㎡左右展厅区域的内容策划、效果设计、动线规划与动态交互装置设计；（2）以互动光影空间为主要展示手段，完成市科技馆400㎡左右展厅区域的内容策划、效果设计、动线规划与动态交互装置设计；（3）以航天航模为主题，完成市科技馆400㎡左右展厅区域的内容策划、效果设计、动线规划与动态交互装置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采购包1（人工智能主题临展项目）：属于专门面向中小企业采购。</w:t>
      </w:r>
    </w:p>
    <w:p>
      <w:pPr>
        <w:pStyle w:val="null3"/>
      </w:pPr>
      <w:r>
        <w:rPr>
          <w:rFonts w:ascii="仿宋_GB2312" w:hAnsi="仿宋_GB2312" w:cs="仿宋_GB2312" w:eastAsia="仿宋_GB2312"/>
        </w:rPr>
        <w:t>采购包2（光影主题临展项目）：属于专门面向中小企业采购。</w:t>
      </w:r>
    </w:p>
    <w:p>
      <w:pPr>
        <w:pStyle w:val="null3"/>
      </w:pPr>
      <w:r>
        <w:rPr>
          <w:rFonts w:ascii="仿宋_GB2312" w:hAnsi="仿宋_GB2312" w:cs="仿宋_GB2312" w:eastAsia="仿宋_GB2312"/>
        </w:rPr>
        <w:t>采购包3（航天航模主题临展项目）：属于专门面向中小企业采购。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3、磋商保证金：磋商保证金交纳凭证或担保机构出具的保函。</w:t>
      </w:r>
    </w:p>
    <w:p>
      <w:pPr>
        <w:pStyle w:val="null3"/>
      </w:pPr>
      <w:r>
        <w:rPr>
          <w:rFonts w:ascii="仿宋_GB2312" w:hAnsi="仿宋_GB2312" w:cs="仿宋_GB2312" w:eastAsia="仿宋_GB2312"/>
        </w:rPr>
        <w:t>4、控股关系：单位负责人为同一人或者存在直接控股、管理关系的不同供应商，不得参加本次采购活动。</w:t>
      </w:r>
    </w:p>
    <w:p>
      <w:pPr>
        <w:pStyle w:val="null3"/>
      </w:pPr>
      <w:r>
        <w:rPr>
          <w:rFonts w:ascii="仿宋_GB2312" w:hAnsi="仿宋_GB2312" w:cs="仿宋_GB2312" w:eastAsia="仿宋_GB2312"/>
        </w:rPr>
        <w:t>5、联合体磋商：本项目不接受联合体磋商。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3、磋商保证金：磋商保证金交纳凭证或担保机构出具的保函。</w:t>
      </w:r>
    </w:p>
    <w:p>
      <w:pPr>
        <w:pStyle w:val="null3"/>
      </w:pPr>
      <w:r>
        <w:rPr>
          <w:rFonts w:ascii="仿宋_GB2312" w:hAnsi="仿宋_GB2312" w:cs="仿宋_GB2312" w:eastAsia="仿宋_GB2312"/>
        </w:rPr>
        <w:t>4、控股关系：单位负责人为同一人或者存在直接控股、管理关系的不同供应商，不得参加本次采购活动。</w:t>
      </w:r>
    </w:p>
    <w:p>
      <w:pPr>
        <w:pStyle w:val="null3"/>
      </w:pPr>
      <w:r>
        <w:rPr>
          <w:rFonts w:ascii="仿宋_GB2312" w:hAnsi="仿宋_GB2312" w:cs="仿宋_GB2312" w:eastAsia="仿宋_GB2312"/>
        </w:rPr>
        <w:t>5、联合体磋商：本项目不接受联合体磋商。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3、磋商保证金：磋商保证金交纳凭证或担保机构出具的保函。</w:t>
      </w:r>
    </w:p>
    <w:p>
      <w:pPr>
        <w:pStyle w:val="null3"/>
      </w:pPr>
      <w:r>
        <w:rPr>
          <w:rFonts w:ascii="仿宋_GB2312" w:hAnsi="仿宋_GB2312" w:cs="仿宋_GB2312" w:eastAsia="仿宋_GB2312"/>
        </w:rPr>
        <w:t>4、控股关系：单位负责人为同一人或者存在直接控股、管理关系的不同供应商，不得参加本次采购活动。</w:t>
      </w:r>
    </w:p>
    <w:p>
      <w:pPr>
        <w:pStyle w:val="null3"/>
      </w:pPr>
      <w:r>
        <w:rPr>
          <w:rFonts w:ascii="仿宋_GB2312" w:hAnsi="仿宋_GB2312" w:cs="仿宋_GB2312" w:eastAsia="仿宋_GB2312"/>
        </w:rPr>
        <w:t>5、联合体磋商：本项目不接受联合体磋商。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渭南市科技馆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渭南市临渭区六泉路中心西片区多功能馆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0913-2661927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采购包1：295,000.00元</w:t>
            </w:r>
          </w:p>
          <w:p>
            <w:pPr>
              <w:pStyle w:val="null3"/>
            </w:pPr>
            <w:r>
              <w:rPr>
                <w:rFonts w:ascii="仿宋_GB2312" w:hAnsi="仿宋_GB2312" w:cs="仿宋_GB2312" w:eastAsia="仿宋_GB2312"/>
              </w:rPr>
              <w:t>采购包2：295,000.00元</w:t>
            </w:r>
          </w:p>
          <w:p>
            <w:pPr>
              <w:pStyle w:val="null3"/>
            </w:pPr>
            <w:r>
              <w:rPr>
                <w:rFonts w:ascii="仿宋_GB2312" w:hAnsi="仿宋_GB2312" w:cs="仿宋_GB2312" w:eastAsia="仿宋_GB2312"/>
              </w:rPr>
              <w:t>采购包3：295,000.00元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以及国家发改价格〔2011〕534号文件”的标准计取，按照各标包成交金额为基数计算采购代理服务费。由各标包中标/成交供应商一次性支付代理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渭南市科技馆</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渭南市科技馆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渭南市科技馆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1、展览天数≥60天；质量指标：设备完好率≥95%。 2、须按国家有关标准及规范完成磋商文件规定的所有工作内容： （1）履行所有规定服务； （2）服务须达到磋商文件规定的质量标准及使用要求； （3）展览目标受众：以青少年为主要展出对象。 展览布展完成后由成交供应商向采购人提出验收申请，采购人根据磋商文件、成交供应商响应文件及合同组织相关人员进行验收。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1、展览天数≥60天；质量指标：设备完好率≥95%。 2、须按国家有关标准及规范完成磋商文件规定的所有工作内容： （1）履行所有规定服务； （2）服务须达到磋商文件规定的质量标准及使用要求； （3）展览目标受众：以青少年为主要展出对象。 展览布展完成后由成交供应商向采购人提出验收申请，采购人根据磋商文件、成交供应商响应文件及合同组织相关人员进行验收。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1、展览天数≥60天；质量指标：设备完好率≥95%。 2、须按国家有关标准及规范完成磋商文件规定的所有工作内容： （1）履行所有规定服务； （2）服务须达到磋商文件规定的质量标准及使用要求； （3）展览目标受众：以青少年为主要展出对象。 展览布展完成后由成交供应商向采购人提出验收申请，采购人根据磋商文件、成交供应商响应文件及合同组织相关人员进行验收。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以AI人工智能为主题，通过机器人表演、智能科技体验、展板等多样化形式，展示AI在艺术、工业及生活领域的创新成果，完成市科技馆400㎡左右展厅区域的内容策划、效果设计、动线规划与动态交互装置设计；（2）以互动光影空间为主要展示手段，通过新媒体艺术展示大型互动光影空间，并加入大量沉浸式体验、互动式光影娱乐，完成市科技馆400㎡左右展厅区域的内容策划、效果设计、动线规划与动态交互装置设计；（3）以航天航模为主题，通过大量航天模型展示中国航天史，并加入多样化的互动模型及互动体验，完成展厅区域的内容策划、效果设计、动线规划与动态交互装置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标的名称：295000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标的名称：295000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标的名称：295000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需最少配置2名人员驻场，配合市科技馆的临展及讲解安排进行讲解、科普活动等工作；临展展陈设施设备出现问题时及时进行维修处理。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需最少配置2名人员驻场，配合市科技馆的临展及讲解安排进行讲解、科普活动等工作；临展展陈设施设备出现问题时及时进行维修处理。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需最少配置2名人员驻场，配合市科技馆的临展及讲解安排进行讲解、科普活动等工作；临展展陈设施设备出现问题时及时进行维修处理。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1.图文展板（展墙） 图文展板是展览的重要构成之一。除预留通道外，展览采用图文展板进行围合。 1.1展板高度：≥2.6m。 1.2展板内容应紧紧围绕展览主题展开，脉络清晰，有明显的章节分区；文字篇幅长短适中，科普信息准确无误。 1.3图文展板除科普内容外，还应包含展览标题海报、前言、分区标题；图文设计美观大方、配色排版协调、便于阅读。 2.布展安装 2.1展览设专用漏电保护配电箱，线路布局安全规范、美观牢固。 2.2展览结构安全稳固，空间布局合理，分区有明显标志或者隔断，参观流线顺畅。 2.3展品安装位置与布展结合恰当，便于开关机和检修。 2.4特种作业施工人员须具备相关资质证明。 2.5布展区域展览布置应满足消防安全要求。 3.运行维护 3.1展出期间需提供现场维保服务，24小时内响应。 3.2提供备品、备件和易耗品。 4.撤展拆卸 4.1须符合采购人关于时间、人员的总体要求，能适应临时调整。 4.2特种作业施工人员须具备相关资质证明。 4.3拆除全部展览布置物品并撤出场馆，清理场地并复原。 5.展览方案 提供展览方案，包括展览设计、展品清单，布展撤展方案。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1.临展实施内容及要求： 1.1 临展实施内容以沉浸式光影互动展品为主体，需完成临展场地搭建，宣传设计，设备安装调试，遮光围挡搭建，参观流线，课程设计等方面规划与实施。 1.2 根据渭南市科技馆临时展厅展览场地及建筑具体布局情况，对临展进行布展策划设计，制定符合渭南市科技馆临展展出条件的布展规划、观众流线及具体的临展实施方案。 1.3 临展所必须的灯光照明、投影设备及电路设备等按照布线规范及消防规定进行配电设计及施工。确保各带电设备运转正常安全可靠。并做好警示标志和安全防护措施。 1.4 做好遮光围挡施工工作，要求外立面整洁美观，板墙结构安全可靠，并确保达到临展所需暗环境要求。 1.5 所有临展设备及其他临展配套设施必须做到质量良好，安全可靠，符合相关国家标准规定。 1.6 做好消防安全措施。 1.7 安全条款：中标供应商对项目整体实施过程中的安全负责；对临展的安全性负责，布展、撤展及临展期间因设计、制作、安装等非采购人因素造成的人身伤害等情况由中标供应商承担全部责任。 1.8 中标供应商负责临展期间的展品维护。确保展品完好率不低于95％，展品如有故障及时进行处理。展品出现故障时，在接到馆方维修通知后需在当日4小时内进行响应，复杂故障由供应商或委托第三方到现场解决（一般性故障2日内解决；复杂故障5日内解决）。 1.9 中标供应商负责对科技馆辅导员进行关于临展展览的讲解，课程实施的培训和指导。 1.10 现场保护：布展、撤展施工过程中注意保护馆内设施，如有损坏照价赔偿。施工过程中如需进行电焊、切割等明火操作需提前联系科技馆相关部门进行备案，施工时注意安全。临展结束后，在规定时间内对临展布展设施及展项进行拆卸、封箱、标记后集中放置。对临展区域进行垃圾清运及卫生清理，恢复展厅原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1、供应商整体设计展厅布展效果图； 2、供应商与采购人详细沟通展览的布展效果相关内容，并根据采购人要求，完善展厅布展效果设计，与采购人确定最终布展效果； 3、供应商与采购人交流各方进场相关事宜，包括环境搭建进场、展览展项及布展团队人员进场等，并安排各方团队进场进行布展； 4、现场布展过程中，供应商随时与采购人进行交流，确保展览总体效果； 5、供应商将严格按照既定的开展时间要求完成现场布展工作，并与采购人完成布展验收工作； 6、供应商对采购人完成展览及展项的培训工作； 7、供应商负责展览期中各类协调工作的管理。 8、展出期间需提供现场维保服务，24小时内响应。 9、提供备品、备件和易耗品。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1)供应商参与本次磋商所提供的证明材料、相关承诺及做出的响应内容应真实无虚假。如有虚假或无法实现所承诺的内容，采购人有权将其作为虚假应标，并有权追究其法律责任。 2)供应商在布展施工期间造成采购人场地设备损坏的，由供应商负责赔偿。 3)本项目布展所需的材料、设备、软件、设施及其他完成项目所需的物品均由供应商进行提供，费用计入投标总价中。展览完成后须按采购人要求的时间内进行撤展，撤展费用计入投标总价中。 4)本项目展出的设备设施及软件等须符合国家、地方及行业相关现行标准、规范；满足磋商文件的相关要求。 其他未尽事宜，由成交供应商与采购人签订合同时协商，但须符合相关法律法规的规定及要求。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1)供应商参与本次磋商所提供的证明材料、相关承诺及做出的响应内容应真实无虚假。如有虚假或无法实现所承诺的内容，采购人有权将其作为虚假应标，并有权追究其法律责任。 2)供应商在布展施工期间造成采购人场地设备损坏的，由供应商负责赔偿。 3)本项目布展所需的材料、设备、软件、设施及其他完成项目所需的物品均由供应商进行提供，费用计入投标总价中。展览完成后须按采购人要求的时间内进行撤展，撤展费用计入投标总价中。 4)本项目展出的设备设施及软件等须符合国家、地方及行业相关现行标准、规范；满足磋商文件的相关要求。 其他未尽事宜，由成交供应商与采购人签订合同时协商，但须符合相关法律法规的规定及要求。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1)供应商参与本次磋商所提供的证明材料、相关承诺及做出的响应内容应真实无虚假。如有虚假或无法实现所承诺的内容，采购人有权将其作为虚假应标，并有权追究其法律责任。 2)供应商在布展施工期间造成采购人场地设备损坏的，由供应商负责赔偿。 3)本项目布展所需的材料、设备、软件、设施及其他完成项目所需的物品均由供应商进行提供，费用计入投标总价中。展览完成后须按采购人要求的时间内进行撤展，撤展费用计入投标总价中。 4)本项目展出的设备设施及软件等须符合国家、地方及行业相关现行标准、规范；满足磋商文件的相关要求。 其他未尽事宜，由成交供应商与采购人签订合同时协商，但须符合相关法律法规的规定及要求。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自合同签订之日起至活动结束并撤展完成，合同签订之日起7日内完成布展，展出时间2个月，结束展出7日内完成撤展。具体布展时间以采购人安排为准。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自合同签订之日起至活动结束并撤展完成，合同签订之日起7日内完成布展，展出时间2个月，结束展出7日内完成撤展。具体工作时间以采购人安排为准。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自合同签订之日起至活动结束并撤展完成，合同签订之日起7日内完成布展，展出时间2个月，结束展出7日内完成撤展。具体布展时间以采购人安排为准。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渭南市科技馆一楼展厅，展览面积：约350-400平方米。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渭南市科技馆一楼展厅，展览面积：约350-400平方米。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渭南市科技馆一楼展厅，展览面积：约350-400平方米。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展览布展完成后由成交供应商向采购人提出验收申请，采购人根据磋商文件、成交供应商响应文件及合同组织相关人员进行验收。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展览布展完成后由成交供应商向采购人提出验收申请，采购人根据磋商文件、成交供应商响应文件及合同组织相关人员进行验收。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展览布展完成后由成交供应商向采购人提出验收申请，采购人根据磋商文件、成交供应商响应文件及合同组织相关人员进行验收。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布展完成并验收合格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按合同要求完成展览工作，撤展后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布展完成并验收合格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按合同要求完成展览工作，撤展后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布展完成并验收合格</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按合同要求完成展览工作，撤展后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1.2提供具有财务审计资质单位出具的2023年度或2024年度的财务报告或响应文件提交截止时间前六个月内其基本账户银行出具的资信证明；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1.2提供具有财务审计资质单位出具的2023年度或2024年度的财务报告或响应文件提交截止时间前六个月内其基本账户银行出具的资信证明；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1.2提供具有财务审计资质单位出具的2023年度或2024年度的财务报告或响应文件提交截止时间前六个月内其基本账户银行出具的资信证明；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本项目专门面向中小企业采购，供应商应为中型、小型或微型企业（残疾人福利性企业及监狱企业视同为小型、微型企业），提供中小企业声明函。所属行业：租赁和商务服务业。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本项目专门面向中小企业采购，供应商应为中型、小型或微型企业（残疾人福利性企业及监狱企业视同为小型、微型企业），提供中小企业声明函。所属行业：租赁和商务服务业。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本项目专门面向中小企业采购，供应商应为中型、小型或微型企业（残疾人福利性企业及监狱企业视同为小型、微型企业），提供中小企业声明函。所属行业：租赁和商务服务业。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供应商应提交的相关资格证明材料.docx 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响应文件签章满足磋商文件的要求。</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中小企业声明函 残疾人福利性单位声明函 标的清单 商务应答表.docx 报价表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供应商应提交的相关资格证明材料.docx 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响应文件签章满足磋商文件的要求。</w:t>
            </w:r>
          </w:p>
        </w:tc>
        <w:tc>
          <w:tcPr>
            <w:tcW w:type="dxa" w:w="1661"/>
          </w:tcPr>
          <w:p>
            <w:pPr>
              <w:pStyle w:val="null3"/>
            </w:pPr>
            <w:r>
              <w:rPr>
                <w:rFonts w:ascii="仿宋_GB2312" w:hAnsi="仿宋_GB2312" w:cs="仿宋_GB2312" w:eastAsia="仿宋_GB2312"/>
              </w:rPr>
              <w:t>响应文件封面 服务内容及服务邀请应答表采购包2 供应商应提交的相关资格证明材料.docx 中小企业声明函 残疾人福利性单位声明函 标的清单 报价表 商务应答表.docx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服务内容及服务邀请应答表采购包2</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供应商应提交的相关资格证明材料.docx 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响应文件签章满足磋商文件的要求。</w:t>
            </w:r>
          </w:p>
        </w:tc>
        <w:tc>
          <w:tcPr>
            <w:tcW w:type="dxa" w:w="1661"/>
          </w:tcPr>
          <w:p>
            <w:pPr>
              <w:pStyle w:val="null3"/>
            </w:pPr>
            <w:r>
              <w:rPr>
                <w:rFonts w:ascii="仿宋_GB2312" w:hAnsi="仿宋_GB2312" w:cs="仿宋_GB2312" w:eastAsia="仿宋_GB2312"/>
              </w:rPr>
              <w:t>响应文件封面 服务内容及服务邀请应答表采购包3 供应商应提交的相关资格证明材料.docx 中小企业声明函 残疾人福利性单位声明函 标的清单 报价表 商务应答表.docx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服务内容及服务邀请应答表采购包3</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展品及内容（20分）</w:t>
            </w:r>
          </w:p>
        </w:tc>
        <w:tc>
          <w:tcPr>
            <w:tcW w:type="dxa" w:w="2492"/>
          </w:tcPr>
          <w:p>
            <w:pPr>
              <w:pStyle w:val="null3"/>
            </w:pPr>
            <w:r>
              <w:rPr>
                <w:rFonts w:ascii="仿宋_GB2312" w:hAnsi="仿宋_GB2312" w:cs="仿宋_GB2312" w:eastAsia="仿宋_GB2312"/>
              </w:rPr>
              <w:t>1.展览布置 布展设计科学合理，观众流线科学，展品布置规范得0-10分。 2.展览场景的科学性、知识性； ①科学性：提供完整的配套科普展示得4-5分、提供部分的配套科普宣传得1-4分，未提供配套科普宣传得0分。 ②知识性：提供所有的说明牌及讲解词得4-5分、提供部分的说明牌及讲解词得1-4分、未提供说明牌及讲解词得0分。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布展方案（12分）</w:t>
            </w:r>
          </w:p>
        </w:tc>
        <w:tc>
          <w:tcPr>
            <w:tcW w:type="dxa" w:w="2492"/>
          </w:tcPr>
          <w:p>
            <w:pPr>
              <w:pStyle w:val="null3"/>
            </w:pPr>
            <w:r>
              <w:rPr>
                <w:rFonts w:ascii="仿宋_GB2312" w:hAnsi="仿宋_GB2312" w:cs="仿宋_GB2312" w:eastAsia="仿宋_GB2312"/>
              </w:rPr>
              <w:t>1.供应商针对本项目需求提出的布展实施方案符合度： 根据项目需求布置展览，完全符合得4-6分、基本符合得1-4分，不符合得0分。 2.合理性： 主题展示逻辑清晰，布局合理，非常合理得4-6分，基本合理得1-4分，不合理得0分。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展品数量（5分）</w:t>
            </w:r>
          </w:p>
        </w:tc>
        <w:tc>
          <w:tcPr>
            <w:tcW w:type="dxa" w:w="2492"/>
          </w:tcPr>
          <w:p>
            <w:pPr>
              <w:pStyle w:val="null3"/>
            </w:pPr>
            <w:r>
              <w:rPr>
                <w:rFonts w:ascii="仿宋_GB2312" w:hAnsi="仿宋_GB2312" w:cs="仿宋_GB2312" w:eastAsia="仿宋_GB2312"/>
              </w:rPr>
              <w:t>展品总数量≥15件的，每增加一件展品加1分，最高得5分。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运行维护措施（10分）</w:t>
            </w:r>
          </w:p>
        </w:tc>
        <w:tc>
          <w:tcPr>
            <w:tcW w:type="dxa" w:w="2492"/>
          </w:tcPr>
          <w:p>
            <w:pPr>
              <w:pStyle w:val="null3"/>
            </w:pPr>
            <w:r>
              <w:rPr>
                <w:rFonts w:ascii="仿宋_GB2312" w:hAnsi="仿宋_GB2312" w:cs="仿宋_GB2312" w:eastAsia="仿宋_GB2312"/>
              </w:rPr>
              <w:t>①供应商维保响应能力、技术支撑能力符合磋商文件要求得2分。 ②配件配品储备能力：提供充足配件满足及时维修的得4分。展品故障无法维修时可整体换新，并在72小时内送达项目所在地的得4分。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应急预案（8分）</w:t>
            </w:r>
          </w:p>
        </w:tc>
        <w:tc>
          <w:tcPr>
            <w:tcW w:type="dxa" w:w="2492"/>
          </w:tcPr>
          <w:p>
            <w:pPr>
              <w:pStyle w:val="null3"/>
            </w:pPr>
            <w:r>
              <w:rPr>
                <w:rFonts w:ascii="仿宋_GB2312" w:hAnsi="仿宋_GB2312" w:cs="仿宋_GB2312" w:eastAsia="仿宋_GB2312"/>
              </w:rPr>
              <w:t>1.针对本次项目具有可行的应急预案，确保展会安全有序进行，包括但不限于①应急事件处置流程；②应急保障措施；③应急人员保障等。每包含以上一项内容得2分，满分6分； 2.针对前款内容，投标人提供了详细、合理、科学可行的方案，方案符合本项目采购需求有针对性，得2分，未提供不得分。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服务团队（12分）</w:t>
            </w:r>
          </w:p>
        </w:tc>
        <w:tc>
          <w:tcPr>
            <w:tcW w:type="dxa" w:w="2492"/>
          </w:tcPr>
          <w:p>
            <w:pPr>
              <w:pStyle w:val="null3"/>
            </w:pPr>
            <w:r>
              <w:rPr>
                <w:rFonts w:ascii="仿宋_GB2312" w:hAnsi="仿宋_GB2312" w:cs="仿宋_GB2312" w:eastAsia="仿宋_GB2312"/>
              </w:rPr>
              <w:t>1.项目负责人有丰富的布展工作经验和曾担任过同类项目负责人，供应商提供项目负责人的履历表及从业经验根据响应情况，计0-4分。 2.供应商提供针对本项目团队成员配备方案，包括但不限于：①组织架构;②拟派人员名单、数量;③相关证件;④岗位职责;⑤工作经验等方面进行综合评审。每包含以上一项内容得1分，满分6分。 3.针对前款内容，投标人提供了详细、合理、科学可行的方案，方案符合本项目采购需求有针对性，得0-2分。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培训服务（6分）</w:t>
            </w:r>
          </w:p>
        </w:tc>
        <w:tc>
          <w:tcPr>
            <w:tcW w:type="dxa" w:w="2492"/>
          </w:tcPr>
          <w:p>
            <w:pPr>
              <w:pStyle w:val="null3"/>
            </w:pPr>
            <w:r>
              <w:rPr>
                <w:rFonts w:ascii="仿宋_GB2312" w:hAnsi="仿宋_GB2312" w:cs="仿宋_GB2312" w:eastAsia="仿宋_GB2312"/>
              </w:rPr>
              <w:t>1.培训方案与本次项目内容紧密贴合，详细、合理且可行性效率高，得3-6分； 2.培训方案不太完整、与本次项目内容贴合不太紧密，得1-3分；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服务承诺（4分）</w:t>
            </w:r>
          </w:p>
        </w:tc>
        <w:tc>
          <w:tcPr>
            <w:tcW w:type="dxa" w:w="2492"/>
          </w:tcPr>
          <w:p>
            <w:pPr>
              <w:pStyle w:val="null3"/>
            </w:pPr>
            <w:r>
              <w:rPr>
                <w:rFonts w:ascii="仿宋_GB2312" w:hAnsi="仿宋_GB2312" w:cs="仿宋_GB2312" w:eastAsia="仿宋_GB2312"/>
              </w:rPr>
              <w:t>1.提供针对本项目完善的服务承诺，计0-2分。 2.提供针对本项目的合理化建议，计0-2分。 未按要求提供的不计分。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业绩（3分）</w:t>
            </w:r>
          </w:p>
        </w:tc>
        <w:tc>
          <w:tcPr>
            <w:tcW w:type="dxa" w:w="2492"/>
          </w:tcPr>
          <w:p>
            <w:pPr>
              <w:pStyle w:val="null3"/>
            </w:pPr>
            <w:r>
              <w:rPr>
                <w:rFonts w:ascii="仿宋_GB2312" w:hAnsi="仿宋_GB2312" w:cs="仿宋_GB2312" w:eastAsia="仿宋_GB2312"/>
              </w:rPr>
              <w:t>供应商提供自2022年3月1日至今类似业绩的证明材料（合同或中标/成交通知书复印件加盖公章，以合同签订时间或中标/成交通知书发出为准）每提供一项得1分，最高得3分，未提供不得分。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展品及内容（20分）</w:t>
            </w:r>
          </w:p>
        </w:tc>
        <w:tc>
          <w:tcPr>
            <w:tcW w:type="dxa" w:w="2492"/>
          </w:tcPr>
          <w:p>
            <w:pPr>
              <w:pStyle w:val="null3"/>
            </w:pPr>
            <w:r>
              <w:rPr>
                <w:rFonts w:ascii="仿宋_GB2312" w:hAnsi="仿宋_GB2312" w:cs="仿宋_GB2312" w:eastAsia="仿宋_GB2312"/>
              </w:rPr>
              <w:t>1.展览布置 布展设计科学合理，观众流线科学，展品布置规范得0-10分。 2.展览场景的科学性、知识性； ①科学性：提供完整的配套科普展示得4-5分、提供部分的配套科普宣传得1-4分，未提供配套科普宣传得0分。 ②知识性：提供所有的说明牌及讲解词得4-5分、提供部分的说明牌及讲解词得1-4分、未提供说明牌及讲解词得0分。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布展方案（12分）</w:t>
            </w:r>
          </w:p>
        </w:tc>
        <w:tc>
          <w:tcPr>
            <w:tcW w:type="dxa" w:w="2492"/>
          </w:tcPr>
          <w:p>
            <w:pPr>
              <w:pStyle w:val="null3"/>
            </w:pPr>
            <w:r>
              <w:rPr>
                <w:rFonts w:ascii="仿宋_GB2312" w:hAnsi="仿宋_GB2312" w:cs="仿宋_GB2312" w:eastAsia="仿宋_GB2312"/>
              </w:rPr>
              <w:t>1.供应商针对本项目需求提出的布展实施方案符合度： 根据项目需求布置展览，完全符合得4-6分、基本符合得1-4分，不符合得0分。 2.合理性： 主题展示逻辑清晰，布局合理，非常合理得4-6分，基本合理得1-4分，不合理得0分。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展品数量（5分）</w:t>
            </w:r>
          </w:p>
        </w:tc>
        <w:tc>
          <w:tcPr>
            <w:tcW w:type="dxa" w:w="2492"/>
          </w:tcPr>
          <w:p>
            <w:pPr>
              <w:pStyle w:val="null3"/>
            </w:pPr>
            <w:r>
              <w:rPr>
                <w:rFonts w:ascii="仿宋_GB2312" w:hAnsi="仿宋_GB2312" w:cs="仿宋_GB2312" w:eastAsia="仿宋_GB2312"/>
              </w:rPr>
              <w:t>展品总数量≥6件的，每增加一件展品加1分，最高得5分。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运行维护措施（10分）</w:t>
            </w:r>
          </w:p>
        </w:tc>
        <w:tc>
          <w:tcPr>
            <w:tcW w:type="dxa" w:w="2492"/>
          </w:tcPr>
          <w:p>
            <w:pPr>
              <w:pStyle w:val="null3"/>
            </w:pPr>
            <w:r>
              <w:rPr>
                <w:rFonts w:ascii="仿宋_GB2312" w:hAnsi="仿宋_GB2312" w:cs="仿宋_GB2312" w:eastAsia="仿宋_GB2312"/>
              </w:rPr>
              <w:t>①供应商维保响应能力、技术支撑能力符合磋商文件要求得2分。 ②配件配品储备能力：提供充足配件满足及时维修的得4分。展品故障无法维修时可整体换新，并在72小时内送达项目所在地的得4分。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应急预案（8分）</w:t>
            </w:r>
          </w:p>
        </w:tc>
        <w:tc>
          <w:tcPr>
            <w:tcW w:type="dxa" w:w="2492"/>
          </w:tcPr>
          <w:p>
            <w:pPr>
              <w:pStyle w:val="null3"/>
            </w:pPr>
            <w:r>
              <w:rPr>
                <w:rFonts w:ascii="仿宋_GB2312" w:hAnsi="仿宋_GB2312" w:cs="仿宋_GB2312" w:eastAsia="仿宋_GB2312"/>
              </w:rPr>
              <w:t>1.针对本次项目具有可行的应急预案，确保展会安全有序进行，包括但不限于①应急事件处置流程；②应急保障措施；③应急人员保障等。每包含以上一项内容得2分，满分6分； 2.针对前款内容，投标人提供了详细、合理、科学可行的方案，方案符合本项目采购需求有针对性，得2分，未提供不得分。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服务团队（12分）</w:t>
            </w:r>
          </w:p>
        </w:tc>
        <w:tc>
          <w:tcPr>
            <w:tcW w:type="dxa" w:w="2492"/>
          </w:tcPr>
          <w:p>
            <w:pPr>
              <w:pStyle w:val="null3"/>
            </w:pPr>
            <w:r>
              <w:rPr>
                <w:rFonts w:ascii="仿宋_GB2312" w:hAnsi="仿宋_GB2312" w:cs="仿宋_GB2312" w:eastAsia="仿宋_GB2312"/>
              </w:rPr>
              <w:t>1.项目负责人有丰富的布展工作经验和曾担任过同类项目负责人，供应商提供项目负责人的履历表及从业经验根据响应情况，计0-4分。 2.供应商提供针对本项目团队成员配备方案，包括但不限于：①组织架构;②拟派人员名单、数量;③相关证件;④岗位职责;⑤工作经验等方面进行综合评审。每包含以上一项内容得1分，满分6分。 3.针对前款内容，投标人提供了详细、合理、科学可行的方案，方案符合本项目采购需求有针对性，得0-2分。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培训服务（6分）</w:t>
            </w:r>
          </w:p>
        </w:tc>
        <w:tc>
          <w:tcPr>
            <w:tcW w:type="dxa" w:w="2492"/>
          </w:tcPr>
          <w:p>
            <w:pPr>
              <w:pStyle w:val="null3"/>
            </w:pPr>
            <w:r>
              <w:rPr>
                <w:rFonts w:ascii="仿宋_GB2312" w:hAnsi="仿宋_GB2312" w:cs="仿宋_GB2312" w:eastAsia="仿宋_GB2312"/>
              </w:rPr>
              <w:t>1.培训方案与本次项目内容紧密贴合，详细、合理且可行性效率高，得3-6分； 2.培训方案不太完整、与本次项目内容贴合不太紧密，得1-3分；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服务承诺（4分）</w:t>
            </w:r>
          </w:p>
        </w:tc>
        <w:tc>
          <w:tcPr>
            <w:tcW w:type="dxa" w:w="2492"/>
          </w:tcPr>
          <w:p>
            <w:pPr>
              <w:pStyle w:val="null3"/>
            </w:pPr>
            <w:r>
              <w:rPr>
                <w:rFonts w:ascii="仿宋_GB2312" w:hAnsi="仿宋_GB2312" w:cs="仿宋_GB2312" w:eastAsia="仿宋_GB2312"/>
              </w:rPr>
              <w:t>1.提供针对本项目完善的服务承诺，计0-2分。 2.提供针对本项目的合理化建议，计0-2分。 未按要求提供的不计分。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业绩（3分）</w:t>
            </w:r>
          </w:p>
        </w:tc>
        <w:tc>
          <w:tcPr>
            <w:tcW w:type="dxa" w:w="2492"/>
          </w:tcPr>
          <w:p>
            <w:pPr>
              <w:pStyle w:val="null3"/>
            </w:pPr>
            <w:r>
              <w:rPr>
                <w:rFonts w:ascii="仿宋_GB2312" w:hAnsi="仿宋_GB2312" w:cs="仿宋_GB2312" w:eastAsia="仿宋_GB2312"/>
              </w:rPr>
              <w:t>供应商提供自2022年3月1日至今类似业绩的证明材料（合同或中标/成交通知书复印件加盖公章，以合同签订时间或中标/成交通知书发出为准）每提供一项得1分，最高得3分，未提供不得分。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展品及内容（20分）</w:t>
            </w:r>
          </w:p>
        </w:tc>
        <w:tc>
          <w:tcPr>
            <w:tcW w:type="dxa" w:w="2492"/>
          </w:tcPr>
          <w:p>
            <w:pPr>
              <w:pStyle w:val="null3"/>
            </w:pPr>
            <w:r>
              <w:rPr>
                <w:rFonts w:ascii="仿宋_GB2312" w:hAnsi="仿宋_GB2312" w:cs="仿宋_GB2312" w:eastAsia="仿宋_GB2312"/>
              </w:rPr>
              <w:t>1.展览布置 布展设计科学合理，观众流线科学，展品布置规范得0-10分。 2.展览场景的科学性、知识性； ①科学性：提供完整的配套科普展示得4-5分、提供部分的配套科普宣传得1-4分，未提供配套科普宣传得0分。 ②知识性：提供所有的说明牌及讲解词得4-5分、提供部分的说明牌及讲解词得1-4分、未提供说明牌及讲解词得0分。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布展方案（12分）</w:t>
            </w:r>
          </w:p>
        </w:tc>
        <w:tc>
          <w:tcPr>
            <w:tcW w:type="dxa" w:w="2492"/>
          </w:tcPr>
          <w:p>
            <w:pPr>
              <w:pStyle w:val="null3"/>
            </w:pPr>
            <w:r>
              <w:rPr>
                <w:rFonts w:ascii="仿宋_GB2312" w:hAnsi="仿宋_GB2312" w:cs="仿宋_GB2312" w:eastAsia="仿宋_GB2312"/>
              </w:rPr>
              <w:t>1.供应商针对本项目需求提出的布展实施方案符合度： 根据项目需求布置展览，完全符合得4-6分、基本符合得1-4分，不符合得0分。 2.合理性： 主题展示逻辑清晰，布局合理，非常合理得4-6分，基本合理得1-4分，不合理得0分。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展品数量（5分）</w:t>
            </w:r>
          </w:p>
        </w:tc>
        <w:tc>
          <w:tcPr>
            <w:tcW w:type="dxa" w:w="2492"/>
          </w:tcPr>
          <w:p>
            <w:pPr>
              <w:pStyle w:val="null3"/>
            </w:pPr>
            <w:r>
              <w:rPr>
                <w:rFonts w:ascii="仿宋_GB2312" w:hAnsi="仿宋_GB2312" w:cs="仿宋_GB2312" w:eastAsia="仿宋_GB2312"/>
              </w:rPr>
              <w:t>展品总数量≥15件的，每增加一件展品加1分，最高得5分。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运行维护措施（10分）</w:t>
            </w:r>
          </w:p>
        </w:tc>
        <w:tc>
          <w:tcPr>
            <w:tcW w:type="dxa" w:w="2492"/>
          </w:tcPr>
          <w:p>
            <w:pPr>
              <w:pStyle w:val="null3"/>
            </w:pPr>
            <w:r>
              <w:rPr>
                <w:rFonts w:ascii="仿宋_GB2312" w:hAnsi="仿宋_GB2312" w:cs="仿宋_GB2312" w:eastAsia="仿宋_GB2312"/>
              </w:rPr>
              <w:t>①供应商维保响应能力、技术支撑能力符合磋商文件要求得2分。 ②配件配品储备能力：提供充足配件满足及时维修的得4分。展品故障无法维修时可整体换新，并在72小时内送达项目所在地的得4分。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应急预案（8分）</w:t>
            </w:r>
          </w:p>
        </w:tc>
        <w:tc>
          <w:tcPr>
            <w:tcW w:type="dxa" w:w="2492"/>
          </w:tcPr>
          <w:p>
            <w:pPr>
              <w:pStyle w:val="null3"/>
            </w:pPr>
            <w:r>
              <w:rPr>
                <w:rFonts w:ascii="仿宋_GB2312" w:hAnsi="仿宋_GB2312" w:cs="仿宋_GB2312" w:eastAsia="仿宋_GB2312"/>
              </w:rPr>
              <w:t>1.针对本次项目具有可行的应急预案，确保展会安全有序进行，包括但不限于①应急事件处置流程；②应急保障措施；③应急人员保障等。每包含以上一项内容得2分，满分6分； 2.针对前款内容，投标人提供了详细、合理、科学可行的方案，方案符合本项目采购需求有针对性，得2分，未提供不得分。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服务团队（12分）</w:t>
            </w:r>
          </w:p>
        </w:tc>
        <w:tc>
          <w:tcPr>
            <w:tcW w:type="dxa" w:w="2492"/>
          </w:tcPr>
          <w:p>
            <w:pPr>
              <w:pStyle w:val="null3"/>
            </w:pPr>
            <w:r>
              <w:rPr>
                <w:rFonts w:ascii="仿宋_GB2312" w:hAnsi="仿宋_GB2312" w:cs="仿宋_GB2312" w:eastAsia="仿宋_GB2312"/>
              </w:rPr>
              <w:t>1.项目负责人有丰富的布展工作经验和曾担任过同类项目负责人，供应商提供项目负责人的履历表及从业经验根据响应情况，计0-4分。 2.供应商提供针对本项目团队成员配备方案，包括但不限于：①组织架构;②拟派人员名单、数量;③相关证件;④岗位职责;⑤工作经验等方面进行综合评审。每包含以上一项内容得1分，满分6分。 3.针对前款内容，投标人提供了详细、合理、科学可行的方案，方案符合本项目采购需求有针对性，得0-2分。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培训服务（6分）</w:t>
            </w:r>
          </w:p>
        </w:tc>
        <w:tc>
          <w:tcPr>
            <w:tcW w:type="dxa" w:w="2492"/>
          </w:tcPr>
          <w:p>
            <w:pPr>
              <w:pStyle w:val="null3"/>
            </w:pPr>
            <w:r>
              <w:rPr>
                <w:rFonts w:ascii="仿宋_GB2312" w:hAnsi="仿宋_GB2312" w:cs="仿宋_GB2312" w:eastAsia="仿宋_GB2312"/>
              </w:rPr>
              <w:t>1.培训方案与本次项目内容紧密贴合，详细、合理且可行性效率高，得3-6分； 2.培训方案不太完整、与本次项目内容贴合不太紧密，得1-3分；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服务承诺（4分）</w:t>
            </w:r>
          </w:p>
        </w:tc>
        <w:tc>
          <w:tcPr>
            <w:tcW w:type="dxa" w:w="2492"/>
          </w:tcPr>
          <w:p>
            <w:pPr>
              <w:pStyle w:val="null3"/>
            </w:pPr>
            <w:r>
              <w:rPr>
                <w:rFonts w:ascii="仿宋_GB2312" w:hAnsi="仿宋_GB2312" w:cs="仿宋_GB2312" w:eastAsia="仿宋_GB2312"/>
              </w:rPr>
              <w:t>1.提供针对本项目完善的服务承诺，计0-2分。 2.提供针对本项目的合理化建议，计0-2分。 未按要求提供的不计分。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业绩（3分）</w:t>
            </w:r>
          </w:p>
        </w:tc>
        <w:tc>
          <w:tcPr>
            <w:tcW w:type="dxa" w:w="2492"/>
          </w:tcPr>
          <w:p>
            <w:pPr>
              <w:pStyle w:val="null3"/>
            </w:pPr>
            <w:r>
              <w:rPr>
                <w:rFonts w:ascii="仿宋_GB2312" w:hAnsi="仿宋_GB2312" w:cs="仿宋_GB2312" w:eastAsia="仿宋_GB2312"/>
              </w:rPr>
              <w:t>供应商提供自2022年3月1日至今类似业绩的证明材料（合同或中标/成交通知书复印件加盖公章，以合同签订时间或中标/成交通知书发出为准）每提供一项得1分，最高得3分，未提供不得分。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详见附件：服务内容及服务邀请应答表采购包2</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详见附件：服务内容及服务邀请应答表采购包3</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