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版本号：ZCSP-渭南市-2025-0016520250409001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白水县地下水污染防治规划编制项目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ZCSP-渭南市-2025-00165</w:t>
      </w:r>
      <w:r>
        <w:br/>
      </w:r>
      <w:r>
        <w:br/>
      </w:r>
      <w:r>
        <w:br/>
      </w:r>
    </w:p>
    <w:p>
      <w:pPr>
        <w:pStyle w:val="null3"/>
        <w:jc w:val="center"/>
        <w:outlineLvl w:val="2"/>
      </w:pPr>
      <w:r>
        <w:rPr>
          <w:rFonts w:ascii="仿宋_GB2312" w:hAnsi="仿宋_GB2312" w:cs="仿宋_GB2312" w:eastAsia="仿宋_GB2312"/>
          <w:sz w:val="28"/>
          <w:b/>
        </w:rPr>
        <w:t>渭南市生态环境局白水分局</w:t>
      </w:r>
    </w:p>
    <w:p>
      <w:pPr>
        <w:pStyle w:val="null3"/>
        <w:jc w:val="center"/>
        <w:outlineLvl w:val="2"/>
      </w:pPr>
      <w:r>
        <w:rPr>
          <w:rFonts w:ascii="仿宋_GB2312" w:hAnsi="仿宋_GB2312" w:cs="仿宋_GB2312" w:eastAsia="仿宋_GB2312"/>
          <w:sz w:val="28"/>
          <w:b/>
        </w:rPr>
        <w:t>语芯建设集团有限公司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语芯建设集团有限公司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渭南市生态环境局白水分局</w:t>
      </w:r>
      <w:r>
        <w:rPr>
          <w:rFonts w:ascii="仿宋_GB2312" w:hAnsi="仿宋_GB2312" w:cs="仿宋_GB2312" w:eastAsia="仿宋_GB2312"/>
        </w:rPr>
        <w:t>委托，拟对</w:t>
      </w:r>
      <w:r>
        <w:rPr>
          <w:rFonts w:ascii="仿宋_GB2312" w:hAnsi="仿宋_GB2312" w:cs="仿宋_GB2312" w:eastAsia="仿宋_GB2312"/>
        </w:rPr>
        <w:t>白水县地下水污染防治规划编制项目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ZCSP-渭南市-2025-00165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白水县地下水污染防治规划编制项目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按照国家、省、市相关技术规范及工作指南要求，结合白水县实际，编制完成《白水县地下水污染防治规划》，用于指导全县地下水污染防治工作，具体内容详见采购文件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采购包1（白水县地下水污染防治规划编制项目）：属于专门面向中小企业采购。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或授权代表身份证明：供应商应授权合法的人员参加磋商全过程，其中法定代表人直接参加磋商的，须出具法人身份证原件，并与营业执照上信息一致。法定代表人授权代表参加磋商的，须出具法定代表人授权书（附法定代表人、被授权人身份证复印件）、授权代表身份证原件；供应商需在项目电子化交易系统中按要求上传相应证明文件并进行电子签章</w:t>
      </w:r>
    </w:p>
    <w:p>
      <w:pPr>
        <w:pStyle w:val="null3"/>
      </w:pPr>
      <w:r>
        <w:rPr>
          <w:rFonts w:ascii="仿宋_GB2312" w:hAnsi="仿宋_GB2312" w:cs="仿宋_GB2312" w:eastAsia="仿宋_GB2312"/>
        </w:rPr>
        <w:t>2、信用记录：供应商不得在“信用中国”网站(http://www.creditchina.gov.cn)被列入失信被执行人、重大税收违法失信主体；不得在“中国政府采购网” (http://www.ccgp.gov.cn) 被列入政府采购严重违法失信行为记录名单。 （注：以开标后的网站查询记录为准）</w:t>
      </w:r>
    </w:p>
    <w:p>
      <w:pPr>
        <w:pStyle w:val="null3"/>
      </w:pPr>
      <w:r>
        <w:rPr>
          <w:rFonts w:ascii="仿宋_GB2312" w:hAnsi="仿宋_GB2312" w:cs="仿宋_GB2312" w:eastAsia="仿宋_GB2312"/>
        </w:rPr>
        <w:t>3、供应商不得存在下列情形之一：（1）单位负责人为同一人或者存在控股、管理关系的不同单位，不得参加同一合同项下的政府采购活动。 （2）为本项目提供整体设计、规范编制或者项目管理、监理、检测等服务的供应商，不得再参加本项目的采购活动。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渭南市生态环境局白水分局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陕西省渭南市白水县杜康东路东鹏地产五楼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王群玲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0913-6298021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语芯建设集团有限公司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陕西省渭南市临渭区陕西省渭南市高新技术产业开发区万达广场4号写字楼301-1室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行增凯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0913-2101155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开户名称：语芯建设集团有限公司</w:t>
            </w:r>
          </w:p>
          <w:p>
            <w:pPr>
              <w:pStyle w:val="null3"/>
            </w:pPr>
            <w:r>
              <w:rPr>
                <w:rFonts w:ascii="仿宋_GB2312" w:hAnsi="仿宋_GB2312" w:cs="仿宋_GB2312" w:eastAsia="仿宋_GB2312"/>
              </w:rPr>
              <w:t>开户银行：中国建设银行渭南电信支行</w:t>
            </w:r>
          </w:p>
          <w:p>
            <w:pPr>
              <w:pStyle w:val="null3"/>
            </w:pPr>
            <w:r>
              <w:rPr>
                <w:rFonts w:ascii="仿宋_GB2312" w:hAnsi="仿宋_GB2312" w:cs="仿宋_GB2312" w:eastAsia="仿宋_GB2312"/>
              </w:rPr>
              <w:t>银行账号：61050164280000000703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渭南市生态环境局白水分局</w:t>
      </w:r>
      <w:r>
        <w:rPr>
          <w:rFonts w:ascii="仿宋_GB2312" w:hAnsi="仿宋_GB2312" w:cs="仿宋_GB2312" w:eastAsia="仿宋_GB2312"/>
        </w:rPr>
        <w:t>和</w:t>
      </w:r>
      <w:r>
        <w:rPr>
          <w:rFonts w:ascii="仿宋_GB2312" w:hAnsi="仿宋_GB2312" w:cs="仿宋_GB2312" w:eastAsia="仿宋_GB2312"/>
        </w:rPr>
        <w:t>语芯建设集团有限公司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渭南市生态环境局白水分局</w:t>
      </w:r>
      <w:r>
        <w:rPr>
          <w:rFonts w:ascii="仿宋_GB2312" w:hAnsi="仿宋_GB2312" w:cs="仿宋_GB2312" w:eastAsia="仿宋_GB2312"/>
        </w:rPr>
        <w:t>负责解释。除上述磋商文件内容，其他内容由</w:t>
      </w:r>
      <w:r>
        <w:rPr>
          <w:rFonts w:ascii="仿宋_GB2312" w:hAnsi="仿宋_GB2312" w:cs="仿宋_GB2312" w:eastAsia="仿宋_GB2312"/>
        </w:rPr>
        <w:t>语芯建设集团有限公司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渭南市生态环境局白水分局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语芯建设集团有限公司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成果严格按照国家、省、市的要求进行编制，若政策要求有调整，上述成果需相应进行完善。服务期结束前，成交人向采购人提交《白水县地下水污染防治规划》，需通过专家评审，并由成交人负责根据专家评审意见修改完善。</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语芯建设集团有限公司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语芯建设集团有限公司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语芯建设集团有限公司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联系人：行增凯</w:t>
      </w:r>
    </w:p>
    <w:p>
      <w:pPr>
        <w:pStyle w:val="null3"/>
      </w:pPr>
      <w:r>
        <w:rPr>
          <w:rFonts w:ascii="仿宋_GB2312" w:hAnsi="仿宋_GB2312" w:cs="仿宋_GB2312" w:eastAsia="仿宋_GB2312"/>
        </w:rPr>
        <w:t>联系电话：0913-2101155</w:t>
      </w:r>
    </w:p>
    <w:p>
      <w:pPr>
        <w:pStyle w:val="null3"/>
      </w:pPr>
      <w:r>
        <w:rPr>
          <w:rFonts w:ascii="仿宋_GB2312" w:hAnsi="仿宋_GB2312" w:cs="仿宋_GB2312" w:eastAsia="仿宋_GB2312"/>
        </w:rPr>
        <w:t>地址：陕西省渭南市高新技术产业开发区万达广场4号写字楼301-1室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按照国家、省、市相关技术规范及工作指南要求，结合白水县实际，编制完成《白水县地下水污染防治规划》，用于指导全县地下水污染防治工作，具体内容详见采购文件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白水县地下水污染防治规划编制项目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标的名称：白水县地下水污染防治规划编制项目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需执行的国家相关标准、行业标准、地方标准或者其他标准、规范标准</w:t>
            </w:r>
          </w:p>
        </w:tc>
        <w:tc>
          <w:tcPr>
            <w:tcW w:type="dxa" w:w="2076"/>
          </w:tcPr>
          <w:p>
            <w:pPr>
              <w:pStyle w:val="null3"/>
              <w:ind w:firstLine="560"/>
              <w:jc w:val="both"/>
            </w:pPr>
            <w:r>
              <w:rPr>
                <w:rFonts w:ascii="仿宋_GB2312" w:hAnsi="仿宋_GB2312" w:cs="仿宋_GB2312" w:eastAsia="仿宋_GB2312"/>
              </w:rPr>
              <w:t>1.《中华人民共和国黄河保护法》；</w:t>
            </w:r>
          </w:p>
          <w:p>
            <w:pPr>
              <w:pStyle w:val="null3"/>
              <w:ind w:firstLine="560"/>
              <w:jc w:val="both"/>
            </w:pPr>
            <w:r>
              <w:rPr>
                <w:rFonts w:ascii="仿宋_GB2312" w:hAnsi="仿宋_GB2312" w:cs="仿宋_GB2312" w:eastAsia="仿宋_GB2312"/>
              </w:rPr>
              <w:t>2.《中华人民共和国水法》；</w:t>
            </w:r>
          </w:p>
          <w:p>
            <w:pPr>
              <w:pStyle w:val="null3"/>
              <w:ind w:firstLine="560"/>
              <w:jc w:val="both"/>
            </w:pPr>
            <w:r>
              <w:rPr>
                <w:rFonts w:ascii="仿宋_GB2312" w:hAnsi="仿宋_GB2312" w:cs="仿宋_GB2312" w:eastAsia="仿宋_GB2312"/>
              </w:rPr>
              <w:t>3.《中华人民共和国土壤污染防治法》；</w:t>
            </w:r>
          </w:p>
          <w:p>
            <w:pPr>
              <w:pStyle w:val="null3"/>
              <w:ind w:firstLine="560"/>
              <w:jc w:val="both"/>
            </w:pPr>
            <w:r>
              <w:rPr>
                <w:rFonts w:ascii="仿宋_GB2312" w:hAnsi="仿宋_GB2312" w:cs="仿宋_GB2312" w:eastAsia="仿宋_GB2312"/>
              </w:rPr>
              <w:t>4.《中华人民共和国水污染防治法》；</w:t>
            </w:r>
          </w:p>
          <w:p>
            <w:pPr>
              <w:pStyle w:val="null3"/>
              <w:ind w:firstLine="560"/>
              <w:jc w:val="both"/>
            </w:pPr>
            <w:r>
              <w:rPr>
                <w:rFonts w:ascii="仿宋_GB2312" w:hAnsi="仿宋_GB2312" w:cs="仿宋_GB2312" w:eastAsia="仿宋_GB2312"/>
              </w:rPr>
              <w:t>5.《中华人民共和国水污染防治法实施细则》；</w:t>
            </w:r>
          </w:p>
          <w:p>
            <w:pPr>
              <w:pStyle w:val="null3"/>
              <w:ind w:firstLine="560"/>
              <w:jc w:val="both"/>
            </w:pPr>
            <w:r>
              <w:rPr>
                <w:rFonts w:ascii="仿宋_GB2312" w:hAnsi="仿宋_GB2312" w:cs="仿宋_GB2312" w:eastAsia="仿宋_GB2312"/>
              </w:rPr>
              <w:t>6.《地下水管理条例》；</w:t>
            </w:r>
          </w:p>
          <w:p>
            <w:pPr>
              <w:pStyle w:val="null3"/>
              <w:ind w:firstLine="560"/>
              <w:jc w:val="both"/>
            </w:pPr>
            <w:r>
              <w:rPr>
                <w:rFonts w:ascii="仿宋_GB2312" w:hAnsi="仿宋_GB2312" w:cs="仿宋_GB2312" w:eastAsia="仿宋_GB2312"/>
              </w:rPr>
              <w:t>7.《地下水污染防治实施方案》(环土壤[2019]25号)；</w:t>
            </w:r>
          </w:p>
          <w:p>
            <w:pPr>
              <w:pStyle w:val="null3"/>
              <w:ind w:firstLine="560"/>
              <w:jc w:val="both"/>
            </w:pPr>
            <w:r>
              <w:rPr>
                <w:rFonts w:ascii="仿宋_GB2312" w:hAnsi="仿宋_GB2312" w:cs="仿宋_GB2312" w:eastAsia="仿宋_GB2312"/>
              </w:rPr>
              <w:t>8.《全国地下水污染防治规划(2011-2020年)》；</w:t>
            </w:r>
          </w:p>
          <w:p>
            <w:pPr>
              <w:pStyle w:val="null3"/>
              <w:ind w:firstLine="560"/>
              <w:jc w:val="both"/>
            </w:pPr>
            <w:r>
              <w:rPr>
                <w:rFonts w:ascii="仿宋_GB2312" w:hAnsi="仿宋_GB2312" w:cs="仿宋_GB2312" w:eastAsia="仿宋_GB2312"/>
              </w:rPr>
              <w:t>9.《陕西省水污染防治工作方案》(陕政发[2015]60号)；</w:t>
            </w:r>
          </w:p>
          <w:p>
            <w:pPr>
              <w:pStyle w:val="null3"/>
              <w:ind w:firstLine="560"/>
              <w:jc w:val="both"/>
            </w:pPr>
            <w:r>
              <w:rPr>
                <w:rFonts w:ascii="仿宋_GB2312" w:hAnsi="仿宋_GB2312" w:cs="仿宋_GB2312" w:eastAsia="仿宋_GB2312"/>
              </w:rPr>
              <w:t>10.《陕西省地下水污染防治实施方案》(陕环发[2020]14号)；</w:t>
            </w:r>
          </w:p>
          <w:p>
            <w:pPr>
              <w:pStyle w:val="null3"/>
              <w:ind w:firstLine="560"/>
              <w:jc w:val="both"/>
            </w:pPr>
            <w:r>
              <w:rPr>
                <w:rFonts w:ascii="仿宋_GB2312" w:hAnsi="仿宋_GB2312" w:cs="仿宋_GB2312" w:eastAsia="仿宋_GB2312"/>
              </w:rPr>
              <w:t>11.《渭南市地下水污染防治实施方案》(渭环发(2020)48号)；</w:t>
            </w:r>
          </w:p>
          <w:p>
            <w:pPr>
              <w:pStyle w:val="null3"/>
              <w:ind w:firstLine="560"/>
              <w:jc w:val="both"/>
            </w:pPr>
            <w:r>
              <w:rPr>
                <w:rFonts w:ascii="仿宋_GB2312" w:hAnsi="仿宋_GB2312" w:cs="仿宋_GB2312" w:eastAsia="仿宋_GB2312"/>
              </w:rPr>
              <w:t>12. 《生态环境部办公厅 水利部办公厅 自然资源部办公厅关于印发&lt;地下水污染防治重点区划定技术指南(试行)&gt;的通知》(环办土壤函〔2023〕299号)；</w:t>
            </w:r>
          </w:p>
          <w:p>
            <w:pPr>
              <w:pStyle w:val="null3"/>
              <w:ind w:firstLine="560"/>
              <w:jc w:val="both"/>
            </w:pPr>
            <w:r>
              <w:rPr>
                <w:rFonts w:ascii="仿宋_GB2312" w:hAnsi="仿宋_GB2312" w:cs="仿宋_GB2312" w:eastAsia="仿宋_GB2312"/>
              </w:rPr>
              <w:t>13.《关于做好地下水污染防治重点区划定工作的通知》（陕环土壤函〔2023〕5号）；</w:t>
            </w:r>
          </w:p>
          <w:p>
            <w:pPr>
              <w:pStyle w:val="null3"/>
              <w:ind w:firstLine="560"/>
              <w:jc w:val="both"/>
            </w:pPr>
            <w:r>
              <w:rPr>
                <w:rFonts w:ascii="仿宋_GB2312" w:hAnsi="仿宋_GB2312" w:cs="仿宋_GB2312" w:eastAsia="仿宋_GB2312"/>
              </w:rPr>
              <w:t>14.《陕西省地下水污染防治重点区划定指导意见(试行)》；</w:t>
            </w:r>
          </w:p>
          <w:p>
            <w:pPr>
              <w:pStyle w:val="null3"/>
              <w:ind w:firstLine="560"/>
              <w:jc w:val="both"/>
            </w:pPr>
            <w:r>
              <w:rPr>
                <w:rFonts w:ascii="仿宋_GB2312" w:hAnsi="仿宋_GB2312" w:cs="仿宋_GB2312" w:eastAsia="仿宋_GB2312"/>
              </w:rPr>
              <w:t>15.《渭南市地下水污染防治重点区划分方案(暂行)》；</w:t>
            </w:r>
          </w:p>
          <w:p>
            <w:pPr>
              <w:pStyle w:val="null3"/>
              <w:ind w:firstLine="560"/>
              <w:jc w:val="both"/>
            </w:pPr>
            <w:r>
              <w:rPr>
                <w:rFonts w:ascii="仿宋_GB2312" w:hAnsi="仿宋_GB2312" w:cs="仿宋_GB2312" w:eastAsia="仿宋_GB2312"/>
              </w:rPr>
              <w:t>16.其他相关国家及地方标准、文件。</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560"/>
              <w:jc w:val="both"/>
            </w:pPr>
            <w:r>
              <w:rPr>
                <w:rFonts w:ascii="仿宋_GB2312" w:hAnsi="仿宋_GB2312" w:cs="仿宋_GB2312" w:eastAsia="仿宋_GB2312"/>
              </w:rPr>
              <w:t>1. 按照国家、省、市相关技术规范及工作指南要求，以保护和改善地下水环境质量为核心，从污染源头预防、风险管控和修复，监测网络建设等方面，提出地下水污染防治总体策略。</w:t>
            </w:r>
          </w:p>
          <w:p>
            <w:pPr>
              <w:pStyle w:val="null3"/>
              <w:ind w:firstLine="560"/>
              <w:jc w:val="both"/>
            </w:pPr>
            <w:r>
              <w:rPr>
                <w:rFonts w:ascii="仿宋_GB2312" w:hAnsi="仿宋_GB2312" w:cs="仿宋_GB2312" w:eastAsia="仿宋_GB2312"/>
              </w:rPr>
              <w:t>（1）地下水环境状况调查、监测。按国家、省和市级部署启动地下水污染调查评价。视情况开展地下水环境背景值调查。整合现有地下水监测井，加强运行维护和管理，加强地下水环境监测。</w:t>
            </w:r>
          </w:p>
          <w:p>
            <w:pPr>
              <w:pStyle w:val="null3"/>
              <w:ind w:firstLine="560"/>
              <w:jc w:val="both"/>
            </w:pPr>
            <w:r>
              <w:rPr>
                <w:rFonts w:ascii="仿宋_GB2312" w:hAnsi="仿宋_GB2312" w:cs="仿宋_GB2312" w:eastAsia="仿宋_GB2312"/>
              </w:rPr>
              <w:t>（2）地下水污染源头预防、风险管控和修复。督促地下水污染防治重点排污单位落实地下水污染防治法定义务，开展防渗排查和整治。对前期调查表明地下水特征污染物污染羽超过边界，或特征污染物污染羽未超过边界但风险评估不可接受的化工园区或填埋场，开展地下水污染风险管控和修复。</w:t>
            </w:r>
          </w:p>
          <w:p>
            <w:pPr>
              <w:pStyle w:val="null3"/>
              <w:ind w:firstLine="560"/>
              <w:jc w:val="both"/>
            </w:pPr>
            <w:r>
              <w:rPr>
                <w:rFonts w:ascii="仿宋_GB2312" w:hAnsi="仿宋_GB2312" w:cs="仿宋_GB2312" w:eastAsia="仿宋_GB2312"/>
              </w:rPr>
              <w:t>（3）地下水污染防治重点区管理。完善地下水污染防治重点区划定成果，按要求进行动态更新，实施分区管理、分级防治。</w:t>
            </w:r>
          </w:p>
          <w:p>
            <w:pPr>
              <w:pStyle w:val="null3"/>
              <w:ind w:firstLine="560"/>
              <w:jc w:val="both"/>
            </w:pPr>
            <w:r>
              <w:rPr>
                <w:rFonts w:ascii="仿宋_GB2312" w:hAnsi="仿宋_GB2312" w:cs="仿宋_GB2312" w:eastAsia="仿宋_GB2312"/>
              </w:rPr>
              <w:t>2.规划文本编写</w:t>
            </w:r>
          </w:p>
          <w:p>
            <w:pPr>
              <w:pStyle w:val="null3"/>
              <w:ind w:firstLine="560"/>
              <w:jc w:val="both"/>
            </w:pPr>
            <w:r>
              <w:rPr>
                <w:rFonts w:ascii="仿宋_GB2312" w:hAnsi="仿宋_GB2312" w:cs="仿宋_GB2312" w:eastAsia="仿宋_GB2312"/>
              </w:rPr>
              <w:t>根据以上研究内容，编制完成规划研究报告、文本及编制说明。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人员配备合理满足本项目各项需求，职责分工明确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服务质量标准：符合现行国家或行业有关规定、标准、规范的要求。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成果严格按照国家、省、市的要求进行编制，若政策要求有调整，上述成果需相应进行完善。服务期结束前，成交人向采购人提交《白水县地下水污染防治规划》，需通过专家评审，并由成交人负责根据专家评审意见修改完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合同签订生效且具备实施条件后7个工作日内，采购方支付合同价的30%作为预付款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待项目完成，乙方提供相关验收材料，通过甲方组织验收合格后，甲方向乙方支付合同结算后的剩余款项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 供应商应是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 1.2 供应商提供2023年度或2024年度经审计的财务审计报告（事业法人可提供部门决算报告）；或提供磋商响应文件递交截止时间前三个月内基本存款账户银行出具的资信证明及基本存款账户银行相关证明资料；或提供政府采购专业担保机构出具的投标担保函；（以上三种形式的资料提供任何一种即可）；供应商需在项目电子化交易系统中按要求上传相应证明文件并进行电子签章。 1.3 提供具有履行合同所必需的设备和专业技术能力书面声明函，供应商需在项目电子化交易系统中按要求上传相应证明文件并进行电子签章。 1.4 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供应商需在项目电子化交易系统中按要求上传相应证明文件并进行电子签章。 1.5 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原件，并与营业执照上信息一致。法定代表人授权代表参加磋商的，须出具法定代表人授权书（附法定代表人、被授权人身份证复印件）、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法定代表人（单位负责人）授权委托书 法定代表人（单位负责人自然人）身份证明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 （注：以开标后的网站查询记录为准）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（1）单位负责人为同一人或者存在控股、管理关系的不同单位，不得参加同一合同项下的政府采购活动。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磋商保证金 中小企业声明函 报价表 技术商务偏离表 响应文件封面 资格证明文件 残疾人福利性单位声明函 服务方案 标的清单 陕西省政府采购供应商拒绝政府采购领域商业贿赂承诺书 法定代表人（单位负责人）授权委托书 响应函 法定代表人（单位负责人自然人）身份证明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报价唯一，且没有超过采购预算或限价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标的清单 报价表 响应函 技术商务偏离表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磋商保证金 中小企业声明函 报价表 技术商务偏离表 响应文件封面 资格证明文件 残疾人福利性单位声明函 服务方案 标的清单 陕西省政府采购供应商拒绝政府采购领域商业贿赂承诺书 法定代表人（单位负责人）授权委托书 响应函 法定代表人（单位负责人自然人）身份证明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磋商保证金</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2022年1月1日以来承担过类似项目业绩，每提供一份业绩得2分，本项最高8分。 注：提供合同复印件加盖投标人公章，时间以合同签订日期为准，未提供或提供不全的不得分。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项目组成员（除项目负责人外）至少3人，具有环境类专业中级及以上职称或注册环境影响评价工程师的，每提供一个人得2分，最高得6分。 注：以响应文件中加盖公章的人员证件复印件为准，并提供上述所有人员近三个月内任意一个月的社保证明材料（社保单位需与供应商一致），无提供或资料不齐全或未按要求提供的不得分。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1.具有环境类专业高级职称得3分，具有环境类专业中级职称得2分，其他情况不得分。 2.具有注册环境影响评价工程师得2分，其他情况不得分。 注：以响应文件中加盖公章的人员证件复印件为准，并提供近三个月内任意一个月的社保证明材料（社保单位需与供应商一致），无提供或资料不齐全或未按要求提供的不得分。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括但不限于①服务期内的质量；②人员到位情况；③不能完全履行服务承诺时接受处罚。以上内容专门针对本项目且阐述明细、全面、合理得6分；评审内容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理解包括但不限于①项目背景分析；②项目需求；③工作范围、目标及流程。以上内容专门针对本项目且阐述明细、全面、合理得6分；评审内容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并结合相关政策解读等方面制定切实可行的服务方案（包含但不限于①地下水环境状况调查、监测；②地下水污染源头预防、风险管控和修复；③地下水污染防治重点区管理）。以上内容专门针对本项目且阐述明细、全面、合理得15分；评审内容缺一项扣5分；评审内容有缺陷（缺陷指内容明显错误，或内容表述前后矛盾、内容不完整、表达简单笼统、缺少关键点，或不适用本项目特性等）的扣0.1-4.9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包括但不限于①项目实施质量保证措施；②成果文件质量保证措施。以上内容专门针对本项目且阐述明细、全面、合理得8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进度保障措施包括但不限于①项目进度计划及关键时间节点安排；②进度保证措施。以上内容专门针对本项目且阐述明细、全面、合理得8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障措施包括但不限于①安全保障措施；②安全保障制度。以上内容专门针对本项目且阐述明细、全面、合理得6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重难点及解决措施</w:t>
            </w:r>
          </w:p>
        </w:tc>
        <w:tc>
          <w:tcPr>
            <w:tcW w:type="dxa" w:w="2492"/>
          </w:tcPr>
          <w:p>
            <w:pPr>
              <w:pStyle w:val="null3"/>
            </w:pPr>
            <w:r>
              <w:rPr>
                <w:rFonts w:ascii="仿宋_GB2312" w:hAnsi="仿宋_GB2312" w:cs="仿宋_GB2312" w:eastAsia="仿宋_GB2312"/>
              </w:rPr>
              <w:t>重难点分析及解决方案包括但不限于①重难点分析；②合理化建议；③应急措施。以上内容专门针对本项目且阐述明细、全面、合理得6分；评审内容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包括但不限于对①保密承诺及措施；②档案管理措施；③数据安全保密措施。以上内容专门针对本项目且阐述明细、全面、合理得6分；评审内容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价格分采用低价优先法计算，即满足竞争性磋商文件要求且最后报价最低的供应商的价格为评审基准价，其价格分为满分。其他供应商的价格分统一按照下列公式计算： 报价得分=（评审基准价/最后报价）×价格权值（即20%）×100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详见附件：法定代表人（单位负责人）授权委托书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详见附件：技术商务偏离表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