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3852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799368D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7DFBF6A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5DFFA10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064BD08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pacing w:val="7"/>
          <w:sz w:val="36"/>
          <w:szCs w:val="36"/>
          <w14:textFill>
            <w14:solidFill>
              <w14:schemeClr w14:val="tx1"/>
            </w14:solidFill>
          </w14:textFill>
        </w:rPr>
        <w:t>政府采购合同书</w:t>
      </w:r>
    </w:p>
    <w:p w14:paraId="769CF71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77B2AF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523AAE6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default"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包1</w:t>
      </w:r>
    </w:p>
    <w:p w14:paraId="6A87C068">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5068CEC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E45876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531D7F8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54D3234">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DC1ECBA">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41D7A7B">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2BEF1400">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A12877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322405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ADBE58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5BC0624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3FAD60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9FE44B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2E49934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C87911A">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8"/>
          <w:szCs w:val="28"/>
          <w14:textFill>
            <w14:solidFill>
              <w14:schemeClr w14:val="tx1"/>
            </w14:solidFill>
          </w14:textFill>
        </w:rPr>
      </w:pPr>
    </w:p>
    <w:p w14:paraId="38899EF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6"/>
          <w:sz w:val="28"/>
          <w:szCs w:val="28"/>
          <w14:textFill>
            <w14:solidFill>
              <w14:schemeClr w14:val="tx1"/>
            </w14:solidFill>
          </w14:textFill>
        </w:rPr>
        <w:t>采购人：</w:t>
      </w:r>
      <w:r>
        <w:rPr>
          <w:rFonts w:hint="eastAsia" w:ascii="仿宋" w:hAnsi="仿宋" w:eastAsia="仿宋" w:cs="仿宋"/>
          <w:color w:val="000000" w:themeColor="text1"/>
          <w:spacing w:val="-72"/>
          <w:sz w:val="28"/>
          <w:szCs w:val="28"/>
          <w14:textFill>
            <w14:solidFill>
              <w14:schemeClr w14:val="tx1"/>
            </w14:solidFill>
          </w14:textFill>
        </w:rPr>
        <w:t xml:space="preserve"> </w:t>
      </w:r>
      <w:r>
        <w:rPr>
          <w:rFonts w:hint="eastAsia" w:ascii="仿宋" w:hAnsi="仿宋" w:eastAsia="仿宋" w:cs="仿宋"/>
          <w:color w:val="000000" w:themeColor="text1"/>
          <w:spacing w:val="26"/>
          <w:sz w:val="28"/>
          <w:szCs w:val="28"/>
          <w14:textFill>
            <w14:solidFill>
              <w14:schemeClr w14:val="tx1"/>
            </w14:solidFill>
          </w14:textFill>
        </w:rPr>
        <w:t>渭南市交通工程质量监督站</w:t>
      </w:r>
    </w:p>
    <w:p w14:paraId="0A993C0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6"/>
          <w:sz w:val="28"/>
          <w:szCs w:val="28"/>
          <w:lang w:val="en-US" w:eastAsia="zh-CN"/>
          <w14:textFill>
            <w14:solidFill>
              <w14:schemeClr w14:val="tx1"/>
            </w14:solidFill>
          </w14:textFill>
        </w:rPr>
        <w:t>供应商</w:t>
      </w:r>
      <w:r>
        <w:rPr>
          <w:rFonts w:hint="eastAsia" w:ascii="仿宋" w:hAnsi="仿宋" w:eastAsia="仿宋" w:cs="仿宋"/>
          <w:color w:val="000000" w:themeColor="text1"/>
          <w:spacing w:val="4"/>
          <w:sz w:val="28"/>
          <w:szCs w:val="28"/>
          <w14:textFill>
            <w14:solidFill>
              <w14:schemeClr w14:val="tx1"/>
            </w14:solidFill>
          </w14:textFill>
        </w:rPr>
        <w:t>：</w:t>
      </w:r>
    </w:p>
    <w:p w14:paraId="261025FA">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sectPr>
          <w:footerReference r:id="rId3" w:type="default"/>
          <w:pgSz w:w="11907" w:h="16839"/>
          <w:pgMar w:top="1440" w:right="1080" w:bottom="1440" w:left="1080" w:header="0" w:footer="1060" w:gutter="0"/>
          <w:pgNumType w:fmt="decimal" w:start="1"/>
          <w:cols w:space="720" w:num="1"/>
        </w:sectPr>
      </w:pPr>
    </w:p>
    <w:p w14:paraId="07B2CE8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签订地点：</w:t>
      </w:r>
    </w:p>
    <w:p w14:paraId="6F1FFFB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 xml:space="preserve">项目编号：                                     </w:t>
      </w:r>
    </w:p>
    <w:p w14:paraId="1C2BD10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签订时间：   年    月    日</w:t>
      </w:r>
    </w:p>
    <w:p w14:paraId="39852C6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采购人（甲方）：渭南市交通工程质量监督站</w:t>
      </w:r>
    </w:p>
    <w:p w14:paraId="51342AC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供应商（乙方）：</w:t>
      </w:r>
    </w:p>
    <w:p w14:paraId="2A14532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p>
    <w:p w14:paraId="736F56D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65" w:firstLine="471"/>
        <w:jc w:val="both"/>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根据</w:t>
      </w:r>
      <w:r>
        <w:rPr>
          <w:rFonts w:hint="eastAsia" w:ascii="仿宋" w:hAnsi="仿宋" w:eastAsia="仿宋" w:cs="仿宋"/>
          <w:color w:val="000000" w:themeColor="text1"/>
          <w:spacing w:val="0"/>
          <w:sz w:val="20"/>
          <w:szCs w:val="20"/>
          <w:u w:val="single" w:color="auto"/>
          <w:lang w:eastAsia="zh-CN"/>
          <w14:textFill>
            <w14:solidFill>
              <w14:schemeClr w14:val="tx1"/>
            </w14:solidFill>
          </w14:textFill>
        </w:rPr>
        <w:t>渭南市交通工程质量监督站公路工程质量安全建设管理服务项目</w:t>
      </w:r>
      <w:r>
        <w:rPr>
          <w:rFonts w:hint="eastAsia" w:ascii="仿宋" w:hAnsi="仿宋" w:eastAsia="仿宋" w:cs="仿宋"/>
          <w:color w:val="000000" w:themeColor="text1"/>
          <w:spacing w:val="0"/>
          <w:sz w:val="20"/>
          <w:szCs w:val="20"/>
          <w:u w:val="single" w:color="auto"/>
          <w:lang w:val="en-US" w:eastAsia="zh-CN"/>
          <w14:textFill>
            <w14:solidFill>
              <w14:schemeClr w14:val="tx1"/>
            </w14:solidFill>
          </w14:textFill>
        </w:rPr>
        <w:t xml:space="preserve">包1 </w:t>
      </w:r>
      <w:r>
        <w:rPr>
          <w:rFonts w:hint="eastAsia" w:ascii="仿宋" w:hAnsi="仿宋" w:eastAsia="仿宋" w:cs="仿宋"/>
          <w:color w:val="000000" w:themeColor="text1"/>
          <w:spacing w:val="0"/>
          <w:sz w:val="20"/>
          <w:szCs w:val="20"/>
          <w14:textFill>
            <w14:solidFill>
              <w14:schemeClr w14:val="tx1"/>
            </w14:solidFill>
          </w14:textFill>
        </w:rPr>
        <w:t>的采购结果，按照《中华人民共和国政府采购法》、《中华人民共和国民法典》等规定，经双方协商，本着平等互利和诚实信用的原则，一致同意签订本合同如下。</w:t>
      </w:r>
    </w:p>
    <w:p w14:paraId="46CADB5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b/>
          <w:bCs/>
          <w:color w:val="000000" w:themeColor="text1"/>
          <w:spacing w:val="0"/>
          <w:sz w:val="20"/>
          <w:szCs w:val="20"/>
          <w14:textFill>
            <w14:solidFill>
              <w14:schemeClr w14:val="tx1"/>
            </w14:solidFill>
          </w14:textFill>
        </w:rPr>
        <w:t>一、合同文件</w:t>
      </w:r>
    </w:p>
    <w:p w14:paraId="67459E4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89"/>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1、协议书条款；</w:t>
      </w:r>
    </w:p>
    <w:p w14:paraId="3EA5AB5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2、竞争性磋商文件；</w:t>
      </w:r>
    </w:p>
    <w:p w14:paraId="0F98775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3、磋商响应文件；</w:t>
      </w:r>
    </w:p>
    <w:p w14:paraId="474436C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0"/>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4、成交通知书；</w:t>
      </w:r>
    </w:p>
    <w:p w14:paraId="7814BE0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5、其他。</w:t>
      </w:r>
    </w:p>
    <w:p w14:paraId="6EE34D7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8" w:right="81" w:firstLine="445"/>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上述所指合同文件应认为是互相补充和解释的，但是有模棱两可或互相矛盾之处，以其所列内容顺序为准。</w:t>
      </w:r>
    </w:p>
    <w:p w14:paraId="672DC1C6">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bCs/>
          <w:color w:val="000000" w:themeColor="text1"/>
          <w:sz w:val="20"/>
          <w:szCs w:val="20"/>
          <w14:textFill>
            <w14:solidFill>
              <w14:schemeClr w14:val="tx1"/>
            </w14:solidFill>
          </w14:textFill>
        </w:rPr>
      </w:pPr>
      <w:bookmarkStart w:id="0" w:name="_Toc9090"/>
      <w:r>
        <w:rPr>
          <w:rFonts w:hint="eastAsia" w:ascii="仿宋" w:hAnsi="仿宋" w:eastAsia="仿宋" w:cs="仿宋"/>
          <w:b/>
          <w:bCs/>
          <w:color w:val="000000" w:themeColor="text1"/>
          <w:sz w:val="20"/>
          <w:szCs w:val="20"/>
          <w14:textFill>
            <w14:solidFill>
              <w14:schemeClr w14:val="tx1"/>
            </w14:solidFill>
          </w14:textFill>
        </w:rPr>
        <w:t>二、合同价款</w:t>
      </w:r>
      <w:bookmarkEnd w:id="0"/>
    </w:p>
    <w:p w14:paraId="5D6D40BA">
      <w:pPr>
        <w:keepNext w:val="0"/>
        <w:keepLines w:val="0"/>
        <w:pageBreakBefore w:val="0"/>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（一）合同总价款（人民币）：大写</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；小写</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single"/>
          <w14:textFill>
            <w14:solidFill>
              <w14:schemeClr w14:val="tx1"/>
            </w14:solidFill>
          </w14:textFill>
        </w:rPr>
        <w:t>¥</w:t>
      </w:r>
      <w:r>
        <w:rPr>
          <w:rFonts w:hint="eastAsia" w:ascii="仿宋" w:hAnsi="仿宋" w:eastAsia="仿宋" w:cs="仿宋"/>
          <w:color w:val="000000" w:themeColor="text1"/>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元。</w:t>
      </w:r>
    </w:p>
    <w:p w14:paraId="23C41049">
      <w:pPr>
        <w:keepNext w:val="0"/>
        <w:keepLines w:val="0"/>
        <w:pageBreakBefore w:val="0"/>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（二）合同总价款是指</w:t>
      </w:r>
      <w:r>
        <w:rPr>
          <w:rFonts w:hint="eastAsia" w:ascii="仿宋" w:hAnsi="仿宋" w:eastAsia="仿宋" w:cs="仿宋"/>
          <w:color w:val="000000" w:themeColor="text1"/>
          <w:sz w:val="20"/>
          <w:szCs w:val="20"/>
          <w:lang w:val="en-US" w:eastAsia="zh-CN"/>
          <w14:textFill>
            <w14:solidFill>
              <w14:schemeClr w14:val="tx1"/>
            </w14:solidFill>
          </w14:textFill>
        </w:rPr>
        <w:t>完</w:t>
      </w:r>
      <w:r>
        <w:rPr>
          <w:rFonts w:hint="eastAsia" w:ascii="仿宋" w:hAnsi="仿宋" w:eastAsia="仿宋" w:cs="仿宋"/>
          <w:color w:val="000000" w:themeColor="text1"/>
          <w:sz w:val="20"/>
          <w:szCs w:val="20"/>
          <w14:textFill>
            <w14:solidFill>
              <w14:schemeClr w14:val="tx1"/>
            </w14:solidFill>
          </w14:textFill>
        </w:rPr>
        <w:t>成本次工作所有内容</w:t>
      </w:r>
      <w:r>
        <w:rPr>
          <w:rFonts w:hint="eastAsia" w:ascii="仿宋" w:hAnsi="仿宋" w:eastAsia="仿宋" w:cs="仿宋"/>
          <w:color w:val="000000" w:themeColor="text1"/>
          <w:sz w:val="20"/>
          <w:szCs w:val="20"/>
          <w:lang w:eastAsia="zh-CN"/>
          <w14:textFill>
            <w14:solidFill>
              <w14:schemeClr w14:val="tx1"/>
            </w14:solidFill>
          </w14:textFill>
        </w:rPr>
        <w:t>，</w:t>
      </w:r>
      <w:r>
        <w:rPr>
          <w:rFonts w:hint="eastAsia" w:ascii="仿宋" w:hAnsi="仿宋" w:eastAsia="仿宋" w:cs="仿宋"/>
          <w:color w:val="000000" w:themeColor="text1"/>
          <w:sz w:val="20"/>
          <w:szCs w:val="20"/>
          <w:highlight w:val="none"/>
          <w:lang w:eastAsia="zh-CN"/>
          <w14:textFill>
            <w14:solidFill>
              <w14:schemeClr w14:val="tx1"/>
            </w14:solidFill>
          </w14:textFill>
        </w:rPr>
        <w:t>包括但不限于完成项目的人工费、材料费、交通费、住宿费、管理费、税金、利润、风险以及采购文件规定的其他费用，服务期内采购人不再增加任何费用</w:t>
      </w:r>
      <w:r>
        <w:rPr>
          <w:rFonts w:hint="eastAsia" w:ascii="仿宋" w:hAnsi="仿宋" w:eastAsia="仿宋" w:cs="仿宋"/>
          <w:color w:val="000000" w:themeColor="text1"/>
          <w:sz w:val="20"/>
          <w:szCs w:val="20"/>
          <w:highlight w:val="none"/>
          <w14:textFill>
            <w14:solidFill>
              <w14:schemeClr w14:val="tx1"/>
            </w14:solidFill>
          </w14:textFill>
        </w:rPr>
        <w:t>。</w:t>
      </w:r>
    </w:p>
    <w:p w14:paraId="1C4B9E79">
      <w:pPr>
        <w:keepNext w:val="0"/>
        <w:keepLines w:val="0"/>
        <w:pageBreakBefore w:val="0"/>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（三）合同总价一次性包死，不受市场价格变化因素的影响。</w:t>
      </w:r>
    </w:p>
    <w:p w14:paraId="54530617">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14:textFill>
            <w14:solidFill>
              <w14:schemeClr w14:val="tx1"/>
            </w14:solidFill>
          </w14:textFill>
        </w:rPr>
      </w:pPr>
      <w:bookmarkStart w:id="1" w:name="_Toc5628"/>
      <w:r>
        <w:rPr>
          <w:rFonts w:hint="eastAsia" w:ascii="仿宋" w:hAnsi="仿宋" w:eastAsia="仿宋" w:cs="仿宋"/>
          <w:b/>
          <w:color w:val="000000" w:themeColor="text1"/>
          <w:sz w:val="20"/>
          <w:szCs w:val="20"/>
          <w14:textFill>
            <w14:solidFill>
              <w14:schemeClr w14:val="tx1"/>
            </w14:solidFill>
          </w14:textFill>
        </w:rPr>
        <w:t>三、款项结算</w:t>
      </w:r>
      <w:bookmarkEnd w:id="1"/>
    </w:p>
    <w:p w14:paraId="285086D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yellow"/>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（一）合同价款的支付</w:t>
      </w:r>
      <w:r>
        <w:rPr>
          <w:rFonts w:hint="eastAsia" w:ascii="仿宋" w:hAnsi="仿宋" w:eastAsia="仿宋" w:cs="仿宋"/>
          <w:color w:val="000000" w:themeColor="text1"/>
          <w:kern w:val="0"/>
          <w:sz w:val="20"/>
          <w:szCs w:val="20"/>
          <w:highlight w:val="none"/>
          <w14:textFill>
            <w14:solidFill>
              <w14:schemeClr w14:val="tx1"/>
            </w14:solidFill>
          </w14:textFill>
        </w:rPr>
        <w:t>：</w:t>
      </w:r>
      <w:r>
        <w:rPr>
          <w:rFonts w:hint="eastAsia" w:ascii="仿宋" w:hAnsi="仿宋" w:eastAsia="仿宋" w:cs="仿宋"/>
          <w:color w:val="000000" w:themeColor="text1"/>
          <w:kern w:val="0"/>
          <w:sz w:val="20"/>
          <w:szCs w:val="20"/>
          <w14:textFill>
            <w14:solidFill>
              <w14:schemeClr w14:val="tx1"/>
            </w14:solidFill>
          </w14:textFill>
        </w:rPr>
        <w:t>合同签订以后付合同价款的50%，项目完成最终验收支付合同价款的</w:t>
      </w:r>
      <w:r>
        <w:rPr>
          <w:rFonts w:hint="eastAsia" w:ascii="仿宋" w:hAnsi="仿宋" w:eastAsia="仿宋" w:cs="仿宋"/>
          <w:color w:val="000000" w:themeColor="text1"/>
          <w:kern w:val="0"/>
          <w:sz w:val="20"/>
          <w:szCs w:val="20"/>
          <w:lang w:val="en-US" w:eastAsia="zh-CN"/>
          <w14:textFill>
            <w14:solidFill>
              <w14:schemeClr w14:val="tx1"/>
            </w14:solidFill>
          </w14:textFill>
        </w:rPr>
        <w:t>40%</w:t>
      </w:r>
      <w:r>
        <w:rPr>
          <w:rFonts w:hint="eastAsia" w:ascii="仿宋" w:hAnsi="仿宋" w:eastAsia="仿宋" w:cs="仿宋"/>
          <w:color w:val="000000" w:themeColor="text1"/>
          <w:kern w:val="0"/>
          <w:sz w:val="20"/>
          <w:szCs w:val="20"/>
          <w14:textFill>
            <w14:solidFill>
              <w14:schemeClr w14:val="tx1"/>
            </w14:solidFill>
          </w14:textFill>
        </w:rPr>
        <w:t>，验收一年后支付剩余10%。</w:t>
      </w:r>
    </w:p>
    <w:p w14:paraId="2D527F14">
      <w:pPr>
        <w:keepNext w:val="0"/>
        <w:keepLines w:val="0"/>
        <w:pageBreakBefore w:val="0"/>
        <w:widowControl/>
        <w:tabs>
          <w:tab w:val="left" w:pos="0"/>
          <w:tab w:val="left" w:pos="437"/>
          <w:tab w:val="left" w:pos="1311"/>
        </w:tabs>
        <w:kinsoku/>
        <w:overflowPunct/>
        <w:topLinePunct w:val="0"/>
        <w:bidi w:val="0"/>
        <w:adjustRightInd w:val="0"/>
        <w:snapToGrid w:val="0"/>
        <w:spacing w:line="360" w:lineRule="auto"/>
        <w:ind w:firstLine="400" w:firstLineChars="200"/>
        <w:jc w:val="left"/>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（三）结算方式：由采购人负责结算，合同签订后，</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在接受付款前，开具等额发票给采购人。</w:t>
      </w:r>
    </w:p>
    <w:p w14:paraId="41BCE1AD">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lang w:val="en-US" w:eastAsia="zh-CN"/>
          <w14:textFill>
            <w14:solidFill>
              <w14:schemeClr w14:val="tx1"/>
            </w14:solidFill>
          </w14:textFill>
        </w:rPr>
      </w:pPr>
      <w:bookmarkStart w:id="2" w:name="_Toc12029"/>
      <w:r>
        <w:rPr>
          <w:rFonts w:hint="eastAsia" w:ascii="仿宋" w:hAnsi="仿宋" w:eastAsia="仿宋" w:cs="仿宋"/>
          <w:b/>
          <w:color w:val="000000" w:themeColor="text1"/>
          <w:sz w:val="20"/>
          <w:szCs w:val="20"/>
          <w14:textFill>
            <w14:solidFill>
              <w14:schemeClr w14:val="tx1"/>
            </w14:solidFill>
          </w14:textFill>
        </w:rPr>
        <w:t>四、服务</w:t>
      </w:r>
      <w:bookmarkEnd w:id="2"/>
      <w:r>
        <w:rPr>
          <w:rFonts w:hint="eastAsia" w:ascii="仿宋" w:hAnsi="仿宋" w:eastAsia="仿宋" w:cs="仿宋"/>
          <w:b/>
          <w:color w:val="000000" w:themeColor="text1"/>
          <w:sz w:val="20"/>
          <w:szCs w:val="20"/>
          <w:lang w:val="en-US" w:eastAsia="zh-CN"/>
          <w14:textFill>
            <w14:solidFill>
              <w14:schemeClr w14:val="tx1"/>
            </w14:solidFill>
          </w14:textFill>
        </w:rPr>
        <w:t>具体指标</w:t>
      </w:r>
    </w:p>
    <w:p w14:paraId="7CD779DA">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lang w:val="en-US" w:eastAsia="zh-CN"/>
          <w14:textFill>
            <w14:solidFill>
              <w14:schemeClr w14:val="tx1"/>
            </w14:solidFill>
          </w14:textFill>
        </w:rPr>
      </w:pPr>
      <w:r>
        <w:rPr>
          <w:rFonts w:hint="eastAsia" w:ascii="仿宋" w:hAnsi="仿宋" w:eastAsia="仿宋" w:cs="仿宋"/>
          <w:b/>
          <w:color w:val="000000" w:themeColor="text1"/>
          <w:sz w:val="20"/>
          <w:szCs w:val="20"/>
          <w:lang w:val="en-US" w:eastAsia="zh-CN"/>
          <w14:textFill>
            <w14:solidFill>
              <w14:schemeClr w14:val="tx1"/>
            </w14:solidFill>
          </w14:textFill>
        </w:rPr>
        <w:t>（1）服务内容</w:t>
      </w:r>
    </w:p>
    <w:p w14:paraId="6A435BCB">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渭南市交通工程质量监督站公路工程质量安全建设管理服务项目信息系统建设。</w:t>
      </w:r>
    </w:p>
    <w:p w14:paraId="45DD6522">
      <w:pPr>
        <w:keepNext w:val="0"/>
        <w:keepLines w:val="0"/>
        <w:pageBreakBefore w:val="0"/>
        <w:kinsoku/>
        <w:wordWrap/>
        <w:overflowPunct/>
        <w:topLinePunct w:val="0"/>
        <w:bidi w:val="0"/>
        <w:adjustRightInd w:val="0"/>
        <w:snapToGrid w:val="0"/>
        <w:spacing w:line="360" w:lineRule="auto"/>
        <w:ind w:firstLine="402" w:firstLineChars="200"/>
        <w:textAlignment w:val="auto"/>
        <w:rPr>
          <w:rFonts w:hint="eastAsia" w:ascii="仿宋" w:hAnsi="仿宋" w:eastAsia="仿宋" w:cs="仿宋"/>
          <w:b/>
          <w:color w:val="000000" w:themeColor="text1"/>
          <w:sz w:val="20"/>
          <w:szCs w:val="20"/>
          <w:lang w:val="en-US" w:eastAsia="zh-CN"/>
          <w14:textFill>
            <w14:solidFill>
              <w14:schemeClr w14:val="tx1"/>
            </w14:solidFill>
          </w14:textFill>
        </w:rPr>
      </w:pPr>
      <w:r>
        <w:rPr>
          <w:rFonts w:hint="eastAsia" w:ascii="仿宋" w:hAnsi="仿宋" w:eastAsia="仿宋" w:cs="仿宋"/>
          <w:b/>
          <w:color w:val="000000" w:themeColor="text1"/>
          <w:sz w:val="20"/>
          <w:szCs w:val="20"/>
          <w:lang w:val="en-US" w:eastAsia="zh-CN"/>
          <w14:textFill>
            <w14:solidFill>
              <w14:schemeClr w14:val="tx1"/>
            </w14:solidFill>
          </w14:textFill>
        </w:rPr>
        <w:t>（2）合同履约期限</w:t>
      </w:r>
    </w:p>
    <w:p w14:paraId="5A23352E">
      <w:pPr>
        <w:keepNext w:val="0"/>
        <w:keepLines w:val="0"/>
        <w:pageBreakBefore w:val="0"/>
        <w:kinsoku/>
        <w:overflowPunct/>
        <w:topLinePunct w:val="0"/>
        <w:bidi w:val="0"/>
        <w:adjustRightInd w:val="0"/>
        <w:snapToGrid w:val="0"/>
        <w:spacing w:line="360" w:lineRule="auto"/>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服务期：自合同签订之日起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日历天</w:t>
      </w:r>
    </w:p>
    <w:p w14:paraId="1A577317">
      <w:pPr>
        <w:keepNext w:val="0"/>
        <w:keepLines w:val="0"/>
        <w:pageBreakBefore w:val="0"/>
        <w:kinsoku/>
        <w:overflowPunct/>
        <w:topLinePunct w:val="0"/>
        <w:bidi w:val="0"/>
        <w:adjustRightInd w:val="0"/>
        <w:snapToGrid w:val="0"/>
        <w:spacing w:line="360" w:lineRule="auto"/>
        <w:ind w:firstLine="400" w:firstLineChars="200"/>
        <w:rPr>
          <w:rFonts w:hint="eastAsia" w:ascii="仿宋" w:hAnsi="仿宋" w:eastAsia="仿宋" w:cs="仿宋"/>
          <w:color w:val="000000" w:themeColor="text1"/>
          <w:sz w:val="20"/>
          <w:szCs w:val="20"/>
          <w:lang w:eastAsia="zh-CN"/>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系统</w:t>
      </w:r>
      <w:r>
        <w:rPr>
          <w:rFonts w:hint="eastAsia" w:ascii="仿宋" w:hAnsi="仿宋" w:eastAsia="仿宋" w:cs="仿宋"/>
          <w:color w:val="000000" w:themeColor="text1"/>
          <w:sz w:val="20"/>
          <w:szCs w:val="20"/>
          <w:lang w:val="en-US" w:eastAsia="zh-CN"/>
          <w14:textFill>
            <w14:solidFill>
              <w14:schemeClr w14:val="tx1"/>
            </w14:solidFill>
          </w14:textFill>
        </w:rPr>
        <w:t>运维</w:t>
      </w:r>
      <w:r>
        <w:rPr>
          <w:rFonts w:hint="eastAsia" w:ascii="仿宋" w:hAnsi="仿宋" w:eastAsia="仿宋" w:cs="仿宋"/>
          <w:color w:val="000000" w:themeColor="text1"/>
          <w:sz w:val="20"/>
          <w:szCs w:val="20"/>
          <w14:textFill>
            <w14:solidFill>
              <w14:schemeClr w14:val="tx1"/>
            </w14:solidFill>
          </w14:textFill>
        </w:rPr>
        <w:t>期：自验收合格之日起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lang w:val="en-US" w:eastAsia="zh-CN"/>
          <w14:textFill>
            <w14:solidFill>
              <w14:schemeClr w14:val="tx1"/>
            </w14:solidFill>
          </w14:textFill>
        </w:rPr>
        <w:t>年</w:t>
      </w:r>
    </w:p>
    <w:p w14:paraId="456F861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五、技术资料</w:t>
      </w:r>
    </w:p>
    <w:p w14:paraId="77BC29ED">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w:t>
      </w:r>
      <w:bookmarkStart w:id="3" w:name="_Hlk73203142"/>
      <w:r>
        <w:rPr>
          <w:rFonts w:hint="eastAsia" w:ascii="仿宋" w:hAnsi="仿宋" w:eastAsia="仿宋" w:cs="仿宋"/>
          <w:color w:val="000000" w:themeColor="text1"/>
          <w:kern w:val="0"/>
          <w:sz w:val="20"/>
          <w:szCs w:val="20"/>
          <w14:textFill>
            <w14:solidFill>
              <w14:schemeClr w14:val="tx1"/>
            </w14:solidFill>
          </w14:textFill>
        </w:rPr>
        <w:t>供应商</w:t>
      </w:r>
      <w:bookmarkEnd w:id="3"/>
      <w:r>
        <w:rPr>
          <w:rFonts w:hint="eastAsia" w:ascii="仿宋" w:hAnsi="仿宋" w:eastAsia="仿宋" w:cs="仿宋"/>
          <w:color w:val="000000" w:themeColor="text1"/>
          <w:kern w:val="0"/>
          <w:sz w:val="20"/>
          <w:szCs w:val="20"/>
          <w14:textFill>
            <w14:solidFill>
              <w14:schemeClr w14:val="tx1"/>
            </w14:solidFill>
          </w14:textFill>
        </w:rPr>
        <w:t>应按磋商文件规定的时间向采购人提供完成项目的有关服务资料。</w:t>
      </w:r>
    </w:p>
    <w:p w14:paraId="2B26CD8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w:t>
      </w:r>
      <w:r>
        <w:rPr>
          <w:rFonts w:hint="eastAsia" w:ascii="仿宋" w:hAnsi="仿宋" w:eastAsia="仿宋" w:cs="仿宋"/>
          <w:color w:val="000000" w:themeColor="text1"/>
          <w:kern w:val="0"/>
          <w:sz w:val="20"/>
          <w:szCs w:val="20"/>
          <w14:textFill>
            <w14:solidFill>
              <w14:schemeClr w14:val="tx1"/>
            </w14:solidFill>
          </w14:textFill>
        </w:rPr>
        <w:t>供应商应</w:t>
      </w:r>
      <w:r>
        <w:rPr>
          <w:rFonts w:hint="eastAsia" w:ascii="仿宋" w:hAnsi="仿宋" w:eastAsia="仿宋" w:cs="仿宋"/>
          <w:color w:val="000000" w:themeColor="text1"/>
          <w:kern w:val="0"/>
          <w:sz w:val="20"/>
          <w:szCs w:val="20"/>
          <w:lang w:val="en-US" w:eastAsia="zh-CN"/>
          <w14:textFill>
            <w14:solidFill>
              <w14:schemeClr w14:val="tx1"/>
            </w14:solidFill>
          </w14:textFill>
        </w:rPr>
        <w:t>根据采购人需要，</w:t>
      </w:r>
      <w:r>
        <w:rPr>
          <w:rFonts w:hint="eastAsia" w:ascii="仿宋" w:hAnsi="仿宋" w:eastAsia="仿宋" w:cs="仿宋"/>
          <w:color w:val="000000" w:themeColor="text1"/>
          <w:kern w:val="0"/>
          <w:sz w:val="20"/>
          <w:szCs w:val="20"/>
          <w14:textFill>
            <w14:solidFill>
              <w14:schemeClr w14:val="tx1"/>
            </w14:solidFill>
          </w14:textFill>
        </w:rPr>
        <w:t>无条件提供本项目各类对接端口数据</w:t>
      </w:r>
      <w:r>
        <w:rPr>
          <w:rFonts w:hint="eastAsia" w:ascii="仿宋" w:hAnsi="仿宋" w:eastAsia="仿宋" w:cs="仿宋"/>
          <w:color w:val="000000" w:themeColor="text1"/>
          <w:kern w:val="0"/>
          <w:sz w:val="20"/>
          <w:szCs w:val="20"/>
          <w:lang w:val="en-US" w:eastAsia="zh-CN"/>
          <w14:textFill>
            <w14:solidFill>
              <w14:schemeClr w14:val="tx1"/>
            </w14:solidFill>
          </w14:textFill>
        </w:rPr>
        <w:t>及服务</w:t>
      </w:r>
      <w:r>
        <w:rPr>
          <w:rFonts w:hint="eastAsia" w:ascii="仿宋" w:hAnsi="仿宋" w:eastAsia="仿宋" w:cs="仿宋"/>
          <w:color w:val="000000" w:themeColor="text1"/>
          <w:kern w:val="0"/>
          <w:sz w:val="20"/>
          <w:szCs w:val="20"/>
          <w:lang w:eastAsia="zh-CN"/>
          <w14:textFill>
            <w14:solidFill>
              <w14:schemeClr w14:val="tx1"/>
            </w14:solidFill>
          </w14:textFill>
        </w:rPr>
        <w:t>，</w:t>
      </w:r>
      <w:r>
        <w:rPr>
          <w:rFonts w:hint="eastAsia" w:ascii="仿宋" w:hAnsi="仿宋" w:eastAsia="仿宋" w:cs="仿宋"/>
          <w:color w:val="000000" w:themeColor="text1"/>
          <w:kern w:val="0"/>
          <w:sz w:val="20"/>
          <w:szCs w:val="20"/>
          <w:lang w:val="en-US" w:eastAsia="zh-CN"/>
          <w14:textFill>
            <w14:solidFill>
              <w14:schemeClr w14:val="tx1"/>
            </w14:solidFill>
          </w14:textFill>
        </w:rPr>
        <w:t>及时（24小时内）解决系统故障</w:t>
      </w:r>
      <w:r>
        <w:rPr>
          <w:rFonts w:hint="eastAsia" w:ascii="仿宋" w:hAnsi="仿宋" w:eastAsia="仿宋" w:cs="仿宋"/>
          <w:color w:val="000000" w:themeColor="text1"/>
          <w:kern w:val="0"/>
          <w:sz w:val="20"/>
          <w:szCs w:val="20"/>
          <w14:textFill>
            <w14:solidFill>
              <w14:schemeClr w14:val="tx1"/>
            </w14:solidFill>
          </w14:textFill>
        </w:rPr>
        <w:t>。</w:t>
      </w:r>
    </w:p>
    <w:p w14:paraId="310D4EC0">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.没有采购人事先书面同意，供应商不得将由采购人提供的有关合同或任何合同条文或资料</w:t>
      </w:r>
      <w:r>
        <w:rPr>
          <w:rFonts w:hint="eastAsia" w:ascii="仿宋" w:hAnsi="仿宋" w:eastAsia="仿宋" w:cs="仿宋"/>
          <w:color w:val="000000" w:themeColor="text1"/>
          <w:kern w:val="0"/>
          <w:sz w:val="20"/>
          <w:szCs w:val="20"/>
          <w:lang w:val="en-US" w:eastAsia="zh-CN"/>
          <w14:textFill>
            <w14:solidFill>
              <w14:schemeClr w14:val="tx1"/>
            </w14:solidFill>
          </w14:textFill>
        </w:rPr>
        <w:t>等</w:t>
      </w:r>
      <w:r>
        <w:rPr>
          <w:rFonts w:hint="eastAsia" w:ascii="仿宋" w:hAnsi="仿宋" w:eastAsia="仿宋" w:cs="仿宋"/>
          <w:color w:val="000000" w:themeColor="text1"/>
          <w:kern w:val="0"/>
          <w:sz w:val="20"/>
          <w:szCs w:val="20"/>
          <w14:textFill>
            <w14:solidFill>
              <w14:schemeClr w14:val="tx1"/>
            </w14:solidFill>
          </w14:textFill>
        </w:rPr>
        <w:t>提供给与履行本合同无关的任何其他人。即使向履行本合同有关的人员提供，也应注意保密并限于履行合同的必需范围。</w:t>
      </w:r>
    </w:p>
    <w:p w14:paraId="4AC85A53">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供应商保证上述软件独立开发完成，不会侵犯任何第三方的合法权益。且保证满足采购人的使用要求。</w:t>
      </w:r>
    </w:p>
    <w:p w14:paraId="23706618">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六、技术情报的保密</w:t>
      </w:r>
    </w:p>
    <w:p w14:paraId="4C7CE26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1.采购人、供应商双方商定，供应商取得的所有原始技术资料在工作结束后交还采购人，供应商不得对外泄露。</w:t>
      </w:r>
    </w:p>
    <w:p w14:paraId="42C10BA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w:t>
      </w:r>
      <w:r>
        <w:rPr>
          <w:rFonts w:hint="eastAsia" w:ascii="仿宋" w:hAnsi="仿宋" w:eastAsia="仿宋" w:cs="仿宋"/>
          <w:color w:val="000000" w:themeColor="text1"/>
          <w:kern w:val="0"/>
          <w:sz w:val="20"/>
          <w:szCs w:val="20"/>
          <w:lang w:val="en-US" w:eastAsia="zh-CN"/>
          <w14:textFill>
            <w14:solidFill>
              <w14:schemeClr w14:val="tx1"/>
            </w14:solidFill>
          </w14:textFill>
        </w:rPr>
        <w:t>相关资料</w:t>
      </w:r>
      <w:r>
        <w:rPr>
          <w:rFonts w:hint="eastAsia" w:ascii="仿宋" w:hAnsi="仿宋" w:eastAsia="仿宋" w:cs="仿宋"/>
          <w:color w:val="000000" w:themeColor="text1"/>
          <w:kern w:val="0"/>
          <w:sz w:val="20"/>
          <w:szCs w:val="20"/>
          <w14:textFill>
            <w14:solidFill>
              <w14:schemeClr w14:val="tx1"/>
            </w14:solidFill>
          </w14:textFill>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3CA9DA4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七、转让或分包</w:t>
      </w:r>
    </w:p>
    <w:p w14:paraId="277C527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1.本合同范围的项目服务内容，应由供应商直接服务，不得转让他人；</w:t>
      </w:r>
    </w:p>
    <w:p w14:paraId="42318CE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2.如有转让和未经采购人同意的分包行为，采购人有权解除合同，并追究供应商的违约责任。</w:t>
      </w:r>
    </w:p>
    <w:p w14:paraId="2CFF83B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lang w:val="en-US" w:eastAsia="zh-CN"/>
          <w14:textFill>
            <w14:solidFill>
              <w14:schemeClr w14:val="tx1"/>
            </w14:solidFill>
          </w14:textFill>
        </w:rPr>
        <w:t>八、</w:t>
      </w:r>
      <w:r>
        <w:rPr>
          <w:rFonts w:hint="eastAsia" w:ascii="仿宋" w:hAnsi="仿宋" w:eastAsia="仿宋" w:cs="仿宋"/>
          <w:b/>
          <w:bCs/>
          <w:color w:val="000000" w:themeColor="text1"/>
          <w:kern w:val="0"/>
          <w:sz w:val="20"/>
          <w:szCs w:val="20"/>
          <w14:textFill>
            <w14:solidFill>
              <w14:schemeClr w14:val="tx1"/>
            </w14:solidFill>
          </w14:textFill>
        </w:rPr>
        <w:t>验 收</w:t>
      </w:r>
    </w:p>
    <w:p w14:paraId="035E7818">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应对数据报告作出全面自查和整理，并列出清单，作为</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验收和使用的服务条件依据，清单应随提供的服务成果交给</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w:t>
      </w:r>
    </w:p>
    <w:p w14:paraId="0497111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2.验收时，</w:t>
      </w:r>
      <w:r>
        <w:rPr>
          <w:rFonts w:hint="eastAsia" w:ascii="仿宋" w:hAnsi="仿宋" w:eastAsia="仿宋" w:cs="仿宋"/>
          <w:color w:val="000000" w:themeColor="text1"/>
          <w:kern w:val="0"/>
          <w:sz w:val="20"/>
          <w:szCs w:val="20"/>
          <w:lang w:eastAsia="zh-CN"/>
          <w14:textFill>
            <w14:solidFill>
              <w14:schemeClr w14:val="tx1"/>
            </w14:solidFill>
          </w14:textFill>
        </w:rPr>
        <w:t>供应商、采购人</w:t>
      </w:r>
      <w:r>
        <w:rPr>
          <w:rFonts w:hint="eastAsia" w:ascii="仿宋" w:hAnsi="仿宋" w:eastAsia="仿宋" w:cs="仿宋"/>
          <w:color w:val="000000" w:themeColor="text1"/>
          <w:kern w:val="0"/>
          <w:sz w:val="20"/>
          <w:szCs w:val="20"/>
          <w14:textFill>
            <w14:solidFill>
              <w14:schemeClr w14:val="tx1"/>
            </w14:solidFill>
          </w14:textFill>
        </w:rPr>
        <w:t>双方必须同时在场，</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所提供的服务不符合合同内容规定的，</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有权拒绝验收。</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应及时按本合同内容规定和</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要求免费进行整改，直至验收合格，方视为</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按本合同规定完成服务。验收合格的，由双方共同签署《验收报告》。在经过两次限期整改后，服务仍达不到合同文件规定内容的，</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有权拒收，并可以解除合同；由此引起</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损失及赔偿责任由</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 xml:space="preserve">承担。 </w:t>
      </w:r>
    </w:p>
    <w:p w14:paraId="2D079C2C">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3.</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可以视项目规模或复杂情况聘请专业人员参与验收，大型或复杂项目，以及涉及专业服务内容的应当邀请国家认可的第三方质量检测机构参与验收。</w:t>
      </w:r>
    </w:p>
    <w:p w14:paraId="085E185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4.如根据项目实施情况需要分阶段验收，则双方分阶段签署《验收报告》。</w:t>
      </w:r>
    </w:p>
    <w:p w14:paraId="2BB52250">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5.如果合同双方对《验收报告》有分歧，双方须于出现分歧后7天内给对方书面声明，以陈述己方的理由及要求，并附有关证据。分歧应通过协商解决。</w:t>
      </w:r>
    </w:p>
    <w:p w14:paraId="151C77C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bookmarkStart w:id="4" w:name="_Toc28452"/>
      <w:r>
        <w:rPr>
          <w:rFonts w:hint="eastAsia" w:ascii="仿宋" w:hAnsi="仿宋" w:eastAsia="仿宋" w:cs="仿宋"/>
          <w:b/>
          <w:color w:val="000000" w:themeColor="text1"/>
          <w:kern w:val="0"/>
          <w:sz w:val="20"/>
          <w:szCs w:val="20"/>
          <w:lang w:val="en-US" w:eastAsia="zh-CN"/>
          <w14:textFill>
            <w14:solidFill>
              <w14:schemeClr w14:val="tx1"/>
            </w14:solidFill>
          </w14:textFill>
        </w:rPr>
        <w:t>九</w:t>
      </w:r>
      <w:r>
        <w:rPr>
          <w:rFonts w:hint="eastAsia" w:ascii="仿宋" w:hAnsi="仿宋" w:eastAsia="仿宋" w:cs="仿宋"/>
          <w:b/>
          <w:color w:val="000000" w:themeColor="text1"/>
          <w:kern w:val="0"/>
          <w:sz w:val="20"/>
          <w:szCs w:val="20"/>
          <w14:textFill>
            <w14:solidFill>
              <w14:schemeClr w14:val="tx1"/>
            </w14:solidFill>
          </w14:textFill>
        </w:rPr>
        <w:t>、采购人的权利及义务</w:t>
      </w:r>
      <w:bookmarkEnd w:id="4"/>
    </w:p>
    <w:p w14:paraId="79DFB73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（一）采购人的权利</w:t>
      </w:r>
    </w:p>
    <w:p w14:paraId="6E4BDEE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1．采购人有权向供应商询问工作进展情况及相关的内容。</w:t>
      </w:r>
    </w:p>
    <w:p w14:paraId="6C03C38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2．采购人有权阐述对具体问题的意见和建议。</w:t>
      </w:r>
    </w:p>
    <w:p w14:paraId="75320BC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3. 当采购人认定供应商专业人员不按合同履行其职责，或与第三人串通给采购人造成经济损失的，采购人有权要求更换专业人员，直至终止合同并要求供应商承担相应的赔偿责任。</w:t>
      </w:r>
    </w:p>
    <w:p w14:paraId="42A3D27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（二）采购人的义务</w:t>
      </w:r>
    </w:p>
    <w:p w14:paraId="5CBB6C2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r>
        <w:rPr>
          <w:rFonts w:hint="eastAsia" w:ascii="仿宋" w:hAnsi="仿宋" w:eastAsia="仿宋" w:cs="仿宋"/>
          <w:color w:val="000000" w:themeColor="text1"/>
          <w:kern w:val="0"/>
          <w:sz w:val="20"/>
          <w:szCs w:val="20"/>
          <w14:textFill>
            <w14:solidFill>
              <w14:schemeClr w14:val="tx1"/>
            </w14:solidFill>
          </w14:textFill>
        </w:rPr>
        <w:t>采购人应当在约定的时间内，向供应商提供与本项目实施有关的资料。</w:t>
      </w:r>
    </w:p>
    <w:p w14:paraId="2B6D6063">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2.采购人对</w:t>
      </w:r>
      <w:r>
        <w:rPr>
          <w:rFonts w:hint="eastAsia" w:ascii="仿宋" w:hAnsi="仿宋" w:eastAsia="仿宋" w:cs="仿宋"/>
          <w:color w:val="000000" w:themeColor="text1"/>
          <w:kern w:val="0"/>
          <w:sz w:val="20"/>
          <w:szCs w:val="20"/>
          <w:lang w:val="en-US"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的生产运行状态进行监督检查发现问题及时提出整改意见。</w:t>
      </w:r>
    </w:p>
    <w:p w14:paraId="14ED313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bookmarkStart w:id="5" w:name="_Toc14300"/>
      <w:r>
        <w:rPr>
          <w:rFonts w:hint="eastAsia" w:ascii="仿宋" w:hAnsi="仿宋" w:eastAsia="仿宋" w:cs="仿宋"/>
          <w:b/>
          <w:color w:val="000000" w:themeColor="text1"/>
          <w:kern w:val="0"/>
          <w:sz w:val="20"/>
          <w:szCs w:val="20"/>
          <w:lang w:val="en-US" w:eastAsia="zh-CN"/>
          <w14:textFill>
            <w14:solidFill>
              <w14:schemeClr w14:val="tx1"/>
            </w14:solidFill>
          </w14:textFill>
        </w:rPr>
        <w:t>十</w:t>
      </w:r>
      <w:r>
        <w:rPr>
          <w:rFonts w:hint="eastAsia" w:ascii="仿宋" w:hAnsi="仿宋" w:eastAsia="仿宋" w:cs="仿宋"/>
          <w:b/>
          <w:color w:val="000000" w:themeColor="text1"/>
          <w:kern w:val="0"/>
          <w:sz w:val="20"/>
          <w:szCs w:val="20"/>
          <w14:textFill>
            <w14:solidFill>
              <w14:schemeClr w14:val="tx1"/>
            </w14:solidFill>
          </w14:textFill>
        </w:rPr>
        <w:t>、供应商的权利及义务</w:t>
      </w:r>
      <w:bookmarkEnd w:id="5"/>
    </w:p>
    <w:p w14:paraId="1FA26158">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（一）供应商的权利</w:t>
      </w:r>
    </w:p>
    <w:p w14:paraId="67FE8F46">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1.</w:t>
      </w:r>
      <w:r>
        <w:rPr>
          <w:rFonts w:hint="eastAsia" w:ascii="仿宋" w:hAnsi="仿宋" w:eastAsia="仿宋" w:cs="仿宋"/>
          <w:color w:val="000000" w:themeColor="text1"/>
          <w:kern w:val="0"/>
          <w:sz w:val="20"/>
          <w:szCs w:val="20"/>
          <w14:textFill>
            <w14:solidFill>
              <w14:schemeClr w14:val="tx1"/>
            </w14:solidFill>
          </w14:textFill>
        </w:rPr>
        <w:t>供应商在项目实施过程中，如采购人提供的资料不明确时可向采购人提出书面报告。</w:t>
      </w:r>
    </w:p>
    <w:p w14:paraId="2AA277B1">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2.</w:t>
      </w:r>
      <w:r>
        <w:rPr>
          <w:rFonts w:hint="eastAsia" w:ascii="仿宋" w:hAnsi="仿宋" w:eastAsia="仿宋" w:cs="仿宋"/>
          <w:color w:val="000000" w:themeColor="text1"/>
          <w:kern w:val="0"/>
          <w:sz w:val="20"/>
          <w:szCs w:val="20"/>
          <w14:textFill>
            <w14:solidFill>
              <w14:schemeClr w14:val="tx1"/>
            </w14:solidFill>
          </w14:textFill>
        </w:rPr>
        <w:t>供应商</w:t>
      </w:r>
      <w:r>
        <w:rPr>
          <w:rFonts w:hint="eastAsia" w:ascii="仿宋" w:hAnsi="仿宋" w:eastAsia="仿宋" w:cs="仿宋"/>
          <w:color w:val="000000" w:themeColor="text1"/>
          <w:kern w:val="0"/>
          <w:sz w:val="20"/>
          <w:szCs w:val="20"/>
          <w:lang w:val="en-US" w:eastAsia="zh-CN"/>
          <w14:textFill>
            <w14:solidFill>
              <w14:schemeClr w14:val="tx1"/>
            </w14:solidFill>
          </w14:textFill>
        </w:rPr>
        <w:t>在项目实施过程中，有到项目现场勘察的权利。</w:t>
      </w:r>
    </w:p>
    <w:p w14:paraId="0A5869F5">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（二）供应商的义务</w:t>
      </w:r>
    </w:p>
    <w:p w14:paraId="5D68B8F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bookmarkStart w:id="6" w:name="_Toc534"/>
      <w:r>
        <w:rPr>
          <w:rFonts w:hint="eastAsia" w:ascii="仿宋" w:hAnsi="仿宋" w:eastAsia="仿宋" w:cs="仿宋"/>
          <w:color w:val="000000" w:themeColor="text1"/>
          <w:kern w:val="0"/>
          <w:sz w:val="20"/>
          <w:szCs w:val="20"/>
          <w14:textFill>
            <w14:solidFill>
              <w14:schemeClr w14:val="tx1"/>
            </w14:solidFill>
          </w14:textFill>
        </w:rPr>
        <w:t>1.负责系统和数据管理模块的日常检查、维护。</w:t>
      </w:r>
    </w:p>
    <w:p w14:paraId="75A8EEF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2.常规巡检要对问题及时发现、及时提交并处理。</w:t>
      </w:r>
    </w:p>
    <w:p w14:paraId="7690882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3.相关工作及配套服务必须保证科学、准确、符合</w:t>
      </w:r>
      <w:r>
        <w:rPr>
          <w:rFonts w:hint="eastAsia" w:ascii="仿宋" w:hAnsi="仿宋" w:eastAsia="仿宋" w:cs="仿宋"/>
          <w:color w:val="000000" w:themeColor="text1"/>
          <w:kern w:val="0"/>
          <w:sz w:val="20"/>
          <w:szCs w:val="20"/>
          <w:lang w:val="en-US" w:eastAsia="zh-CN"/>
          <w14:textFill>
            <w14:solidFill>
              <w14:schemeClr w14:val="tx1"/>
            </w14:solidFill>
          </w14:textFill>
        </w:rPr>
        <w:t>项目</w:t>
      </w:r>
      <w:r>
        <w:rPr>
          <w:rFonts w:hint="eastAsia" w:ascii="仿宋" w:hAnsi="仿宋" w:eastAsia="仿宋" w:cs="仿宋"/>
          <w:color w:val="000000" w:themeColor="text1"/>
          <w:kern w:val="0"/>
          <w:sz w:val="20"/>
          <w:szCs w:val="20"/>
          <w14:textFill>
            <w14:solidFill>
              <w14:schemeClr w14:val="tx1"/>
            </w14:solidFill>
          </w14:textFill>
        </w:rPr>
        <w:t>建设实际情况。</w:t>
      </w:r>
    </w:p>
    <w:p w14:paraId="7F7A18AF">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4.</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向采购人提供全方位的技术服务，在项目实施的各个阶段中，项目工程师提供7*24小时的电话服务支持，接到用户电话后，在2小时内响应，24小时以内解决问题，以保障用户的正常使用。</w:t>
      </w:r>
    </w:p>
    <w:p w14:paraId="0C99519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5.在运维期间内，项目中涉及设备的系统软件免费升级，需负责全部升级工作，以保证不影响系统的运行。不管是在保修期内还是保修期外，免费为采购人提供技术咨询服务，这其中包括：新技术咨询、配置调整、故障解决等。</w:t>
      </w:r>
    </w:p>
    <w:p w14:paraId="0937BC7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6.要随时响应采购人提出的其他临时性要求。</w:t>
      </w:r>
    </w:p>
    <w:p w14:paraId="1E2D584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7.项目完成后，</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及时向采购人提供成果资料及相关文件。</w:t>
      </w:r>
    </w:p>
    <w:p w14:paraId="32076AD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lang w:val="en-US" w:eastAsia="zh-CN"/>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8.系统验收完成后，需要对本项目提供详细的系统使用培训服务，提供详尽的培训方案及培训计划，并列出培训的具体内容及方式，确保使用人员能够独立熟练操作、维护和正常使用。</w:t>
      </w:r>
    </w:p>
    <w:p w14:paraId="0FABD3B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十</w:t>
      </w:r>
      <w:r>
        <w:rPr>
          <w:rFonts w:hint="eastAsia" w:ascii="仿宋" w:hAnsi="仿宋" w:eastAsia="仿宋" w:cs="仿宋"/>
          <w:b/>
          <w:color w:val="000000" w:themeColor="text1"/>
          <w:kern w:val="0"/>
          <w:sz w:val="20"/>
          <w:szCs w:val="20"/>
          <w:lang w:val="en-US" w:eastAsia="zh-CN"/>
          <w14:textFill>
            <w14:solidFill>
              <w14:schemeClr w14:val="tx1"/>
            </w14:solidFill>
          </w14:textFill>
        </w:rPr>
        <w:t>一</w:t>
      </w:r>
      <w:r>
        <w:rPr>
          <w:rFonts w:hint="eastAsia" w:ascii="仿宋" w:hAnsi="仿宋" w:eastAsia="仿宋" w:cs="仿宋"/>
          <w:b/>
          <w:color w:val="000000" w:themeColor="text1"/>
          <w:kern w:val="0"/>
          <w:sz w:val="20"/>
          <w:szCs w:val="20"/>
          <w14:textFill>
            <w14:solidFill>
              <w14:schemeClr w14:val="tx1"/>
            </w14:solidFill>
          </w14:textFill>
        </w:rPr>
        <w:t>、售后服务承诺</w:t>
      </w:r>
    </w:p>
    <w:p w14:paraId="3798BA9C">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具有一整套售后服务体系和人员培训机制。为保障系统交付后正常稳定运行，</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将配备经验丰富的工程师，提供完善的售后服务和人员培训服务，售后服务承诺内容如下：</w:t>
      </w:r>
    </w:p>
    <w:p w14:paraId="7E07DF16">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2.系统维护期内非</w:t>
      </w:r>
      <w:r>
        <w:rPr>
          <w:rFonts w:hint="eastAsia" w:ascii="仿宋" w:hAnsi="仿宋" w:eastAsia="仿宋" w:cs="仿宋"/>
          <w:color w:val="000000" w:themeColor="text1"/>
          <w:kern w:val="0"/>
          <w:sz w:val="20"/>
          <w:szCs w:val="20"/>
          <w:lang w:eastAsia="zh-CN"/>
          <w14:textFill>
            <w14:solidFill>
              <w14:schemeClr w14:val="tx1"/>
            </w14:solidFill>
          </w14:textFill>
        </w:rPr>
        <w:t>采购人</w:t>
      </w:r>
      <w:r>
        <w:rPr>
          <w:rFonts w:hint="eastAsia" w:ascii="仿宋" w:hAnsi="仿宋" w:eastAsia="仿宋" w:cs="仿宋"/>
          <w:color w:val="000000" w:themeColor="text1"/>
          <w:kern w:val="0"/>
          <w:sz w:val="20"/>
          <w:szCs w:val="20"/>
          <w14:textFill>
            <w14:solidFill>
              <w14:schemeClr w14:val="tx1"/>
            </w14:solidFill>
          </w14:textFill>
        </w:rPr>
        <w:t>的人为原因而出现质量问题的，由</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提供免费保修服务。</w:t>
      </w:r>
    </w:p>
    <w:p w14:paraId="675590BE">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3</w:t>
      </w:r>
      <w:r>
        <w:rPr>
          <w:rFonts w:hint="eastAsia" w:ascii="仿宋" w:hAnsi="仿宋" w:eastAsia="仿宋" w:cs="仿宋"/>
          <w:color w:val="000000" w:themeColor="text1"/>
          <w:kern w:val="0"/>
          <w:sz w:val="20"/>
          <w:szCs w:val="20"/>
          <w14:textFill>
            <w14:solidFill>
              <w14:schemeClr w14:val="tx1"/>
            </w14:solidFill>
          </w14:textFill>
        </w:rPr>
        <w:t>.系统运维：在系统维护期内，</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将定期对本项目全系统进行定期维护，以保证系统运作的安全、可靠和高效性。每季度对系统运行状况进行一次评估；每季度对系统进行现场巡检，并做好相应的数据备份工作。同时提供系统故障的应急解决方案，安排相应的技术工程师提供系统运维和故障恢复等工作。</w:t>
      </w:r>
    </w:p>
    <w:p w14:paraId="015EE8A8">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4</w:t>
      </w:r>
      <w:r>
        <w:rPr>
          <w:rFonts w:hint="eastAsia" w:ascii="仿宋" w:hAnsi="仿宋" w:eastAsia="仿宋" w:cs="仿宋"/>
          <w:color w:val="000000" w:themeColor="text1"/>
          <w:kern w:val="0"/>
          <w:sz w:val="20"/>
          <w:szCs w:val="20"/>
          <w14:textFill>
            <w14:solidFill>
              <w14:schemeClr w14:val="tx1"/>
            </w14:solidFill>
          </w14:textFill>
        </w:rPr>
        <w:t>.故障响应：</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在系统维护期内接到用户电话后，在2小时内响应，24小时以内解决问题，以保证用户的正常使用。</w:t>
      </w:r>
    </w:p>
    <w:p w14:paraId="443B074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lang w:val="en-US" w:eastAsia="zh-CN"/>
          <w14:textFill>
            <w14:solidFill>
              <w14:schemeClr w14:val="tx1"/>
            </w14:solidFill>
          </w14:textFill>
        </w:rPr>
        <w:t>5</w:t>
      </w:r>
      <w:r>
        <w:rPr>
          <w:rFonts w:hint="eastAsia" w:ascii="仿宋" w:hAnsi="仿宋" w:eastAsia="仿宋" w:cs="仿宋"/>
          <w:color w:val="000000" w:themeColor="text1"/>
          <w:kern w:val="0"/>
          <w:sz w:val="20"/>
          <w:szCs w:val="20"/>
          <w14:textFill>
            <w14:solidFill>
              <w14:schemeClr w14:val="tx1"/>
            </w14:solidFill>
          </w14:textFill>
        </w:rPr>
        <w:t>.服务方式：</w:t>
      </w:r>
      <w:r>
        <w:rPr>
          <w:rFonts w:hint="eastAsia" w:ascii="仿宋" w:hAnsi="仿宋" w:eastAsia="仿宋" w:cs="仿宋"/>
          <w:color w:val="000000" w:themeColor="text1"/>
          <w:kern w:val="0"/>
          <w:sz w:val="20"/>
          <w:szCs w:val="20"/>
          <w:lang w:eastAsia="zh-CN"/>
          <w14:textFill>
            <w14:solidFill>
              <w14:schemeClr w14:val="tx1"/>
            </w14:solidFill>
          </w14:textFill>
        </w:rPr>
        <w:t>供应商</w:t>
      </w:r>
      <w:r>
        <w:rPr>
          <w:rFonts w:hint="eastAsia" w:ascii="仿宋" w:hAnsi="仿宋" w:eastAsia="仿宋" w:cs="仿宋"/>
          <w:color w:val="000000" w:themeColor="text1"/>
          <w:kern w:val="0"/>
          <w:sz w:val="20"/>
          <w:szCs w:val="20"/>
          <w14:textFill>
            <w14:solidFill>
              <w14:schemeClr w14:val="tx1"/>
            </w14:solidFill>
          </w14:textFill>
        </w:rPr>
        <w:t>提供售后服务方式包括：要求本地化服务、电话、邮件、微信/QQ、现场服务、重大活动远程或现场保障等方式。</w:t>
      </w:r>
    </w:p>
    <w:p w14:paraId="7775B77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十</w:t>
      </w:r>
      <w:r>
        <w:rPr>
          <w:rFonts w:hint="eastAsia" w:ascii="仿宋" w:hAnsi="仿宋" w:eastAsia="仿宋" w:cs="仿宋"/>
          <w:b/>
          <w:color w:val="000000" w:themeColor="text1"/>
          <w:kern w:val="0"/>
          <w:sz w:val="20"/>
          <w:szCs w:val="20"/>
          <w:lang w:val="en-US" w:eastAsia="zh-CN"/>
          <w14:textFill>
            <w14:solidFill>
              <w14:schemeClr w14:val="tx1"/>
            </w14:solidFill>
          </w14:textFill>
        </w:rPr>
        <w:t>二</w:t>
      </w:r>
      <w:r>
        <w:rPr>
          <w:rFonts w:hint="eastAsia" w:ascii="仿宋" w:hAnsi="仿宋" w:eastAsia="仿宋" w:cs="仿宋"/>
          <w:b/>
          <w:color w:val="000000" w:themeColor="text1"/>
          <w:kern w:val="0"/>
          <w:sz w:val="20"/>
          <w:szCs w:val="20"/>
          <w14:textFill>
            <w14:solidFill>
              <w14:schemeClr w14:val="tx1"/>
            </w14:solidFill>
          </w14:textFill>
        </w:rPr>
        <w:t>、</w:t>
      </w:r>
      <w:bookmarkEnd w:id="6"/>
      <w:r>
        <w:rPr>
          <w:rFonts w:hint="eastAsia" w:ascii="仿宋" w:hAnsi="仿宋" w:eastAsia="仿宋" w:cs="仿宋"/>
          <w:b/>
          <w:color w:val="000000" w:themeColor="text1"/>
          <w:kern w:val="0"/>
          <w:sz w:val="20"/>
          <w:szCs w:val="20"/>
          <w14:textFill>
            <w14:solidFill>
              <w14:schemeClr w14:val="tx1"/>
            </w14:solidFill>
          </w14:textFill>
        </w:rPr>
        <w:t>质量标准</w:t>
      </w:r>
    </w:p>
    <w:p w14:paraId="785F735F">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bCs/>
          <w:color w:val="000000" w:themeColor="text1"/>
          <w:sz w:val="20"/>
          <w:szCs w:val="20"/>
          <w14:textFill>
            <w14:solidFill>
              <w14:schemeClr w14:val="tx1"/>
            </w14:solidFill>
          </w14:textFill>
        </w:rPr>
      </w:pPr>
      <w:bookmarkStart w:id="7" w:name="_Toc26949"/>
      <w:r>
        <w:rPr>
          <w:rFonts w:hint="eastAsia" w:ascii="仿宋" w:hAnsi="仿宋" w:eastAsia="仿宋" w:cs="仿宋"/>
          <w:bCs/>
          <w:color w:val="000000" w:themeColor="text1"/>
          <w:sz w:val="20"/>
          <w:szCs w:val="20"/>
          <w14:textFill>
            <w14:solidFill>
              <w14:schemeClr w14:val="tx1"/>
            </w14:solidFill>
          </w14:textFill>
        </w:rPr>
        <w:t>执行的国家相关标准、行业标准、地方标准或者其他标准、规范，则统一执行最新标准、规范，达到合格标准。</w:t>
      </w:r>
    </w:p>
    <w:p w14:paraId="592BA5B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color w:val="000000" w:themeColor="text1"/>
          <w:kern w:val="0"/>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十</w:t>
      </w:r>
      <w:r>
        <w:rPr>
          <w:rFonts w:hint="eastAsia" w:ascii="仿宋" w:hAnsi="仿宋" w:eastAsia="仿宋" w:cs="仿宋"/>
          <w:b/>
          <w:color w:val="000000" w:themeColor="text1"/>
          <w:kern w:val="0"/>
          <w:sz w:val="20"/>
          <w:szCs w:val="20"/>
          <w:lang w:val="en-US" w:eastAsia="zh-CN"/>
          <w14:textFill>
            <w14:solidFill>
              <w14:schemeClr w14:val="tx1"/>
            </w14:solidFill>
          </w14:textFill>
        </w:rPr>
        <w:t>三</w:t>
      </w:r>
      <w:r>
        <w:rPr>
          <w:rFonts w:hint="eastAsia" w:ascii="仿宋" w:hAnsi="仿宋" w:eastAsia="仿宋" w:cs="仿宋"/>
          <w:b/>
          <w:color w:val="000000" w:themeColor="text1"/>
          <w:kern w:val="0"/>
          <w:sz w:val="20"/>
          <w:szCs w:val="20"/>
          <w14:textFill>
            <w14:solidFill>
              <w14:schemeClr w14:val="tx1"/>
            </w14:solidFill>
          </w14:textFill>
        </w:rPr>
        <w:t>、违约责任</w:t>
      </w:r>
      <w:bookmarkEnd w:id="7"/>
    </w:p>
    <w:p w14:paraId="7107CF4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一）采购人因未及时向供应商提供项目启动所需资料造成工期延误，每延误1日则本合同服务周期限延长1日，以此类推；因资料真实性给供应商造成损失和产生相关连带责任时，采购人除按供应商要求进行赔偿外还需承担因连带责任产生的所有责任。</w:t>
      </w:r>
    </w:p>
    <w:p w14:paraId="3BB7AE7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二）因供应商原因造成工期延误（自然灾害、疫情等不可抗力除外），采购人有权从未付款项中按每日3‰合同价款扣除违约金，此违约以30日为限；若采购人未按约定时间付款，则供应商有权按每日3‰合同价款收取违约金。</w:t>
      </w:r>
    </w:p>
    <w:p w14:paraId="6863608D">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十</w:t>
      </w:r>
      <w:r>
        <w:rPr>
          <w:rFonts w:hint="eastAsia" w:ascii="仿宋" w:hAnsi="仿宋" w:eastAsia="仿宋" w:cs="仿宋"/>
          <w:b/>
          <w:bCs/>
          <w:color w:val="000000" w:themeColor="text1"/>
          <w:kern w:val="0"/>
          <w:sz w:val="20"/>
          <w:szCs w:val="20"/>
          <w:lang w:val="en-US" w:eastAsia="zh-CN"/>
          <w14:textFill>
            <w14:solidFill>
              <w14:schemeClr w14:val="tx1"/>
            </w14:solidFill>
          </w14:textFill>
        </w:rPr>
        <w:t>四</w:t>
      </w:r>
      <w:r>
        <w:rPr>
          <w:rFonts w:hint="eastAsia" w:ascii="仿宋" w:hAnsi="仿宋" w:eastAsia="仿宋" w:cs="仿宋"/>
          <w:b/>
          <w:bCs/>
          <w:color w:val="000000" w:themeColor="text1"/>
          <w:kern w:val="0"/>
          <w:sz w:val="20"/>
          <w:szCs w:val="20"/>
          <w14:textFill>
            <w14:solidFill>
              <w14:schemeClr w14:val="tx1"/>
            </w14:solidFill>
          </w14:textFill>
        </w:rPr>
        <w:t>、不可抗力事件处理</w:t>
      </w:r>
    </w:p>
    <w:p w14:paraId="379524E8">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1.在合同有效期内，任何一方因不可抗力事件导致不能履行合同，则合同履行期可延长，其延长期与不可抗力影响期相同。</w:t>
      </w:r>
    </w:p>
    <w:p w14:paraId="1708B5E8">
      <w:pPr>
        <w:keepNext w:val="0"/>
        <w:keepLines w:val="0"/>
        <w:pageBreakBefore w:val="0"/>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2.不可抗力事件发生后，应立即通知对方。</w:t>
      </w:r>
    </w:p>
    <w:p w14:paraId="71542F0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3.不可抗力事件延续120天以上，双方应通过友好协商，确定是否继续履行合同。</w:t>
      </w:r>
    </w:p>
    <w:p w14:paraId="62D2A72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十</w:t>
      </w:r>
      <w:r>
        <w:rPr>
          <w:rFonts w:hint="eastAsia" w:ascii="仿宋" w:hAnsi="仿宋" w:eastAsia="仿宋" w:cs="仿宋"/>
          <w:b/>
          <w:bCs/>
          <w:color w:val="000000" w:themeColor="text1"/>
          <w:kern w:val="0"/>
          <w:sz w:val="20"/>
          <w:szCs w:val="20"/>
          <w:lang w:val="en-US" w:eastAsia="zh-CN"/>
          <w14:textFill>
            <w14:solidFill>
              <w14:schemeClr w14:val="tx1"/>
            </w14:solidFill>
          </w14:textFill>
        </w:rPr>
        <w:t>五</w:t>
      </w:r>
      <w:r>
        <w:rPr>
          <w:rFonts w:hint="eastAsia" w:ascii="仿宋" w:hAnsi="仿宋" w:eastAsia="仿宋" w:cs="仿宋"/>
          <w:b/>
          <w:bCs/>
          <w:color w:val="000000" w:themeColor="text1"/>
          <w:kern w:val="0"/>
          <w:sz w:val="20"/>
          <w:szCs w:val="20"/>
          <w14:textFill>
            <w14:solidFill>
              <w14:schemeClr w14:val="tx1"/>
            </w14:solidFill>
          </w14:textFill>
        </w:rPr>
        <w:t>、诉讼</w:t>
      </w:r>
    </w:p>
    <w:p w14:paraId="766D45B3">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368" w:firstLineChars="200"/>
        <w:jc w:val="left"/>
        <w:textAlignment w:val="auto"/>
        <w:rPr>
          <w:rFonts w:hint="eastAsia" w:ascii="仿宋" w:hAnsi="仿宋" w:eastAsia="仿宋" w:cs="仿宋"/>
          <w:color w:val="000000" w:themeColor="text1"/>
          <w:spacing w:val="-8"/>
          <w:kern w:val="0"/>
          <w:sz w:val="20"/>
          <w:szCs w:val="20"/>
          <w14:textFill>
            <w14:solidFill>
              <w14:schemeClr w14:val="tx1"/>
            </w14:solidFill>
          </w14:textFill>
        </w:rPr>
      </w:pPr>
      <w:r>
        <w:rPr>
          <w:rFonts w:hint="eastAsia" w:ascii="仿宋" w:hAnsi="仿宋" w:eastAsia="仿宋" w:cs="仿宋"/>
          <w:color w:val="000000" w:themeColor="text1"/>
          <w:spacing w:val="-8"/>
          <w:kern w:val="0"/>
          <w:sz w:val="20"/>
          <w:szCs w:val="20"/>
          <w14:textFill>
            <w14:solidFill>
              <w14:schemeClr w14:val="tx1"/>
            </w14:solidFill>
          </w14:textFill>
        </w:rPr>
        <w:t>双方在执行合同中所发生的一切争议，应通过协商解决。如协商不成，可向采购人所在地法院起诉。</w:t>
      </w:r>
    </w:p>
    <w:p w14:paraId="5FF1ADB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14:textFill>
            <w14:solidFill>
              <w14:schemeClr w14:val="tx1"/>
            </w14:solidFill>
          </w14:textFill>
        </w:rPr>
      </w:pPr>
      <w:r>
        <w:rPr>
          <w:rFonts w:hint="eastAsia" w:ascii="仿宋" w:hAnsi="仿宋" w:eastAsia="仿宋" w:cs="仿宋"/>
          <w:b/>
          <w:bCs/>
          <w:color w:val="000000" w:themeColor="text1"/>
          <w:kern w:val="0"/>
          <w:sz w:val="20"/>
          <w:szCs w:val="20"/>
          <w14:textFill>
            <w14:solidFill>
              <w14:schemeClr w14:val="tx1"/>
            </w14:solidFill>
          </w14:textFill>
        </w:rPr>
        <w:t>十</w:t>
      </w:r>
      <w:r>
        <w:rPr>
          <w:rFonts w:hint="eastAsia" w:ascii="仿宋" w:hAnsi="仿宋" w:eastAsia="仿宋" w:cs="仿宋"/>
          <w:b/>
          <w:bCs/>
          <w:color w:val="000000" w:themeColor="text1"/>
          <w:kern w:val="0"/>
          <w:sz w:val="20"/>
          <w:szCs w:val="20"/>
          <w:lang w:val="en-US" w:eastAsia="zh-CN"/>
          <w14:textFill>
            <w14:solidFill>
              <w14:schemeClr w14:val="tx1"/>
            </w14:solidFill>
          </w14:textFill>
        </w:rPr>
        <w:t>六</w:t>
      </w:r>
      <w:r>
        <w:rPr>
          <w:rFonts w:hint="eastAsia" w:ascii="仿宋" w:hAnsi="仿宋" w:eastAsia="仿宋" w:cs="仿宋"/>
          <w:b/>
          <w:bCs/>
          <w:color w:val="000000" w:themeColor="text1"/>
          <w:kern w:val="0"/>
          <w:sz w:val="20"/>
          <w:szCs w:val="20"/>
          <w14:textFill>
            <w14:solidFill>
              <w14:schemeClr w14:val="tx1"/>
            </w14:solidFill>
          </w14:textFill>
        </w:rPr>
        <w:t>、合同生效及其它</w:t>
      </w:r>
    </w:p>
    <w:p w14:paraId="73D48EEF">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1.本合同经采购人、供应商法定代表人或其委托人签字并加盖公章后生效。</w:t>
      </w:r>
    </w:p>
    <w:p w14:paraId="1CA27E7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368" w:firstLineChars="200"/>
        <w:jc w:val="left"/>
        <w:textAlignment w:val="auto"/>
        <w:rPr>
          <w:rFonts w:hint="eastAsia" w:ascii="仿宋" w:hAnsi="仿宋" w:eastAsia="仿宋" w:cs="仿宋"/>
          <w:color w:val="000000" w:themeColor="text1"/>
          <w:spacing w:val="-8"/>
          <w:kern w:val="0"/>
          <w:sz w:val="20"/>
          <w:szCs w:val="20"/>
          <w14:textFill>
            <w14:solidFill>
              <w14:schemeClr w14:val="tx1"/>
            </w14:solidFill>
          </w14:textFill>
        </w:rPr>
      </w:pPr>
      <w:r>
        <w:rPr>
          <w:rFonts w:hint="eastAsia" w:ascii="仿宋" w:hAnsi="仿宋" w:eastAsia="仿宋" w:cs="仿宋"/>
          <w:color w:val="000000" w:themeColor="text1"/>
          <w:spacing w:val="-8"/>
          <w:kern w:val="0"/>
          <w:sz w:val="20"/>
          <w:szCs w:val="20"/>
          <w14:textFill>
            <w14:solidFill>
              <w14:schemeClr w14:val="tx1"/>
            </w14:solidFill>
          </w14:textFill>
        </w:rPr>
        <w:t xml:space="preserve">2.本合同一式七份，采购人、供应商各执两份，其余相关部门各一份。 </w:t>
      </w:r>
    </w:p>
    <w:p w14:paraId="65654C0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368" w:firstLineChars="200"/>
        <w:jc w:val="left"/>
        <w:textAlignment w:val="auto"/>
        <w:rPr>
          <w:rFonts w:hint="eastAsia" w:ascii="仿宋" w:hAnsi="仿宋" w:eastAsia="仿宋" w:cs="仿宋"/>
          <w:color w:val="000000" w:themeColor="text1"/>
          <w:spacing w:val="-8"/>
          <w:kern w:val="0"/>
          <w:sz w:val="20"/>
          <w:szCs w:val="20"/>
          <w:highlight w:val="none"/>
          <w:lang w:val="en-US" w:eastAsia="zh-CN"/>
          <w14:textFill>
            <w14:solidFill>
              <w14:schemeClr w14:val="tx1"/>
            </w14:solidFill>
          </w14:textFill>
        </w:rPr>
      </w:pPr>
      <w:r>
        <w:rPr>
          <w:rFonts w:hint="eastAsia" w:ascii="仿宋" w:hAnsi="仿宋" w:eastAsia="仿宋" w:cs="仿宋"/>
          <w:color w:val="000000" w:themeColor="text1"/>
          <w:spacing w:val="-8"/>
          <w:kern w:val="0"/>
          <w:sz w:val="20"/>
          <w:szCs w:val="20"/>
          <w:highlight w:val="none"/>
          <w:lang w:val="en-US" w:eastAsia="zh-CN"/>
          <w14:textFill>
            <w14:solidFill>
              <w14:schemeClr w14:val="tx1"/>
            </w14:solidFill>
          </w14:textFill>
        </w:rPr>
        <w:t>3.附件作为本合同一部分，具有同等法律效力。</w:t>
      </w:r>
    </w:p>
    <w:p w14:paraId="76FB42B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14:textFill>
            <w14:solidFill>
              <w14:schemeClr w14:val="tx1"/>
            </w14:solidFill>
          </w14:textFill>
        </w:rPr>
      </w:pPr>
    </w:p>
    <w:p w14:paraId="33F2B4B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采购人（盖章）：               供应商（盖章）：</w:t>
      </w:r>
    </w:p>
    <w:p w14:paraId="30B5436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法定代表人                     法定代表人：</w:t>
      </w:r>
    </w:p>
    <w:p w14:paraId="5DAAFD3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或委托代理人:                  或委托代理人:</w:t>
      </w:r>
    </w:p>
    <w:p w14:paraId="5CEABD8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开户名：                       开户名：</w:t>
      </w:r>
    </w:p>
    <w:p w14:paraId="77D9DDB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开户银行：                     开户银行：</w:t>
      </w:r>
    </w:p>
    <w:p w14:paraId="288ECD2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银行账号：                     银行账号：</w:t>
      </w:r>
    </w:p>
    <w:p w14:paraId="128A399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日   期 ：                      日   期：</w:t>
      </w:r>
    </w:p>
    <w:p w14:paraId="1C514516">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65323824">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64DCA559">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123BD8D5">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1D9137EE">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62D4E32F">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5ABE2E88">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592919F7">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1D97CA06">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412C33A5">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1856318C">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63353D3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24028D9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2C86016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0808AC4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426761E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1330B11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63A4D69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4B41B22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791415A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75ECE9F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1936B4EB">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pacing w:val="7"/>
          <w:sz w:val="36"/>
          <w:szCs w:val="36"/>
          <w14:textFill>
            <w14:solidFill>
              <w14:schemeClr w14:val="tx1"/>
            </w14:solidFill>
          </w14:textFill>
        </w:rPr>
        <w:t>政府采购合同书</w:t>
      </w:r>
    </w:p>
    <w:p w14:paraId="177CDF0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5729F784">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F88090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default"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包2</w:t>
      </w:r>
    </w:p>
    <w:p w14:paraId="41EEDA4E">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17A950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C2C9DB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0FEA129">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C8C6D3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45DBF97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17C380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487D8A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B1BCD4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FDA266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1B27BC6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826C80B">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0A91E34A">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6FBA6BB0">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307378D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0"/>
          <w:szCs w:val="20"/>
          <w14:textFill>
            <w14:solidFill>
              <w14:schemeClr w14:val="tx1"/>
            </w14:solidFill>
          </w14:textFill>
        </w:rPr>
      </w:pPr>
    </w:p>
    <w:p w14:paraId="2CA504F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sz w:val="28"/>
          <w:szCs w:val="28"/>
          <w14:textFill>
            <w14:solidFill>
              <w14:schemeClr w14:val="tx1"/>
            </w14:solidFill>
          </w14:textFill>
        </w:rPr>
      </w:pPr>
    </w:p>
    <w:p w14:paraId="167D395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6"/>
          <w:sz w:val="28"/>
          <w:szCs w:val="28"/>
          <w14:textFill>
            <w14:solidFill>
              <w14:schemeClr w14:val="tx1"/>
            </w14:solidFill>
          </w14:textFill>
        </w:rPr>
        <w:t>采购人：</w:t>
      </w:r>
      <w:r>
        <w:rPr>
          <w:rFonts w:hint="eastAsia" w:ascii="仿宋" w:hAnsi="仿宋" w:eastAsia="仿宋" w:cs="仿宋"/>
          <w:color w:val="000000" w:themeColor="text1"/>
          <w:spacing w:val="-72"/>
          <w:sz w:val="28"/>
          <w:szCs w:val="28"/>
          <w14:textFill>
            <w14:solidFill>
              <w14:schemeClr w14:val="tx1"/>
            </w14:solidFill>
          </w14:textFill>
        </w:rPr>
        <w:t xml:space="preserve"> </w:t>
      </w:r>
      <w:r>
        <w:rPr>
          <w:rFonts w:hint="eastAsia" w:ascii="仿宋" w:hAnsi="仿宋" w:eastAsia="仿宋" w:cs="仿宋"/>
          <w:color w:val="000000" w:themeColor="text1"/>
          <w:spacing w:val="26"/>
          <w:sz w:val="28"/>
          <w:szCs w:val="28"/>
          <w14:textFill>
            <w14:solidFill>
              <w14:schemeClr w14:val="tx1"/>
            </w14:solidFill>
          </w14:textFill>
        </w:rPr>
        <w:t>渭南市交通工程质量监督站</w:t>
      </w:r>
    </w:p>
    <w:p w14:paraId="029855C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6"/>
          <w:sz w:val="28"/>
          <w:szCs w:val="28"/>
          <w:lang w:val="en-US" w:eastAsia="zh-CN"/>
          <w14:textFill>
            <w14:solidFill>
              <w14:schemeClr w14:val="tx1"/>
            </w14:solidFill>
          </w14:textFill>
        </w:rPr>
        <w:t>供应商</w:t>
      </w:r>
      <w:r>
        <w:rPr>
          <w:rFonts w:hint="eastAsia" w:ascii="仿宋" w:hAnsi="仿宋" w:eastAsia="仿宋" w:cs="仿宋"/>
          <w:color w:val="000000" w:themeColor="text1"/>
          <w:spacing w:val="4"/>
          <w:sz w:val="28"/>
          <w:szCs w:val="28"/>
          <w14:textFill>
            <w14:solidFill>
              <w14:schemeClr w14:val="tx1"/>
            </w14:solidFill>
          </w14:textFill>
        </w:rPr>
        <w:t>：</w:t>
      </w:r>
    </w:p>
    <w:p w14:paraId="09CB16EE">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sectPr>
          <w:footerReference r:id="rId4" w:type="default"/>
          <w:pgSz w:w="11907" w:h="16839"/>
          <w:pgMar w:top="1440" w:right="1080" w:bottom="1440" w:left="1080" w:header="0" w:footer="1060" w:gutter="0"/>
          <w:pgNumType w:fmt="decimal" w:start="1"/>
          <w:cols w:space="720" w:num="1"/>
        </w:sectPr>
      </w:pPr>
    </w:p>
    <w:p w14:paraId="7232F6F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签订地点：</w:t>
      </w:r>
    </w:p>
    <w:p w14:paraId="6B72A86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 xml:space="preserve">项目编号：                                     </w:t>
      </w:r>
    </w:p>
    <w:p w14:paraId="326F5AD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签订时间：   年    月    日</w:t>
      </w:r>
    </w:p>
    <w:p w14:paraId="12C55CE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采购人（甲方）：渭南市交通工程质量监督站供应商（乙方）：</w:t>
      </w:r>
    </w:p>
    <w:p w14:paraId="3CD4961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color w:val="000000" w:themeColor="text1"/>
          <w:spacing w:val="0"/>
          <w:sz w:val="20"/>
          <w:szCs w:val="20"/>
          <w14:textFill>
            <w14:solidFill>
              <w14:schemeClr w14:val="tx1"/>
            </w14:solidFill>
          </w14:textFill>
        </w:rPr>
      </w:pPr>
    </w:p>
    <w:p w14:paraId="6BCBC07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65" w:firstLine="471"/>
        <w:jc w:val="both"/>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根据</w:t>
      </w:r>
      <w:r>
        <w:rPr>
          <w:rFonts w:hint="eastAsia" w:ascii="仿宋" w:hAnsi="仿宋" w:eastAsia="仿宋" w:cs="仿宋"/>
          <w:color w:val="000000" w:themeColor="text1"/>
          <w:spacing w:val="0"/>
          <w:sz w:val="20"/>
          <w:szCs w:val="20"/>
          <w:u w:val="single" w:color="auto"/>
          <w:lang w:eastAsia="zh-CN"/>
          <w14:textFill>
            <w14:solidFill>
              <w14:schemeClr w14:val="tx1"/>
            </w14:solidFill>
          </w14:textFill>
        </w:rPr>
        <w:t>渭南市交通工程质量监督站公路工程质量安全建设管理服务项目</w:t>
      </w:r>
      <w:r>
        <w:rPr>
          <w:rFonts w:hint="eastAsia" w:ascii="仿宋" w:hAnsi="仿宋" w:eastAsia="仿宋" w:cs="仿宋"/>
          <w:color w:val="000000" w:themeColor="text1"/>
          <w:spacing w:val="0"/>
          <w:sz w:val="20"/>
          <w:szCs w:val="20"/>
          <w:u w:val="single" w:color="auto"/>
          <w:lang w:val="en-US" w:eastAsia="zh-CN"/>
          <w14:textFill>
            <w14:solidFill>
              <w14:schemeClr w14:val="tx1"/>
            </w14:solidFill>
          </w14:textFill>
        </w:rPr>
        <w:t>包2</w:t>
      </w:r>
      <w:r>
        <w:rPr>
          <w:rFonts w:hint="eastAsia" w:ascii="仿宋" w:hAnsi="仿宋" w:eastAsia="仿宋" w:cs="仿宋"/>
          <w:color w:val="000000" w:themeColor="text1"/>
          <w:spacing w:val="0"/>
          <w:sz w:val="20"/>
          <w:szCs w:val="20"/>
          <w14:textFill>
            <w14:solidFill>
              <w14:schemeClr w14:val="tx1"/>
            </w14:solidFill>
          </w14:textFill>
        </w:rPr>
        <w:t>的采购结果，按照《中华人民共和国政府采购法》、《中华人民共和国民法典》等规定，经双方协商，本着平等互利和诚实信用的原则，一致同意签订本合同如下。</w:t>
      </w:r>
    </w:p>
    <w:p w14:paraId="006F78D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b/>
          <w:bCs/>
          <w:color w:val="000000" w:themeColor="text1"/>
          <w:spacing w:val="0"/>
          <w:sz w:val="20"/>
          <w:szCs w:val="20"/>
          <w14:textFill>
            <w14:solidFill>
              <w14:schemeClr w14:val="tx1"/>
            </w14:solidFill>
          </w14:textFill>
        </w:rPr>
        <w:t>一、合同文件</w:t>
      </w:r>
    </w:p>
    <w:p w14:paraId="42BA0FF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89"/>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1、协议书条款；</w:t>
      </w:r>
      <w:bookmarkStart w:id="8" w:name="_GoBack"/>
      <w:bookmarkEnd w:id="8"/>
    </w:p>
    <w:p w14:paraId="091D7FD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2、竞争性磋商文件；</w:t>
      </w:r>
    </w:p>
    <w:p w14:paraId="678A804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3、磋商响应文件；</w:t>
      </w:r>
    </w:p>
    <w:p w14:paraId="0D4DB45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0"/>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4、成交通知书；</w:t>
      </w:r>
    </w:p>
    <w:p w14:paraId="7F333F4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5、其他。</w:t>
      </w:r>
    </w:p>
    <w:p w14:paraId="0DFD71A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8" w:right="81" w:firstLine="445"/>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上述所指合同文件应认为是互相补充和解释的，但是有模棱两可或互相矛盾之处，以其所列内容顺序为准。</w:t>
      </w:r>
    </w:p>
    <w:p w14:paraId="65B4938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b/>
          <w:bCs/>
          <w:color w:val="000000" w:themeColor="text1"/>
          <w:spacing w:val="0"/>
          <w:sz w:val="20"/>
          <w:szCs w:val="20"/>
          <w14:textFill>
            <w14:solidFill>
              <w14:schemeClr w14:val="tx1"/>
            </w14:solidFill>
          </w14:textFill>
        </w:rPr>
        <w:t>二、合同价款</w:t>
      </w:r>
    </w:p>
    <w:p w14:paraId="73F16EE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 w:right="68" w:firstLine="474"/>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（1）合同价：人民币</w:t>
      </w:r>
      <w:r>
        <w:rPr>
          <w:rFonts w:hint="eastAsia" w:ascii="仿宋" w:hAnsi="仿宋" w:eastAsia="仿宋" w:cs="仿宋"/>
          <w:color w:val="000000" w:themeColor="text1"/>
          <w:spacing w:val="0"/>
          <w:sz w:val="20"/>
          <w:szCs w:val="20"/>
          <w:u w:val="single"/>
          <w:lang w:val="en-US" w:eastAsia="zh-CN"/>
          <w14:textFill>
            <w14:solidFill>
              <w14:schemeClr w14:val="tx1"/>
            </w14:solidFill>
          </w14:textFill>
        </w:rPr>
        <w:t xml:space="preserve">       </w:t>
      </w:r>
      <w:r>
        <w:rPr>
          <w:rFonts w:hint="eastAsia" w:ascii="仿宋" w:hAnsi="仿宋" w:eastAsia="仿宋" w:cs="仿宋"/>
          <w:color w:val="000000" w:themeColor="text1"/>
          <w:spacing w:val="0"/>
          <w:sz w:val="20"/>
          <w:szCs w:val="20"/>
          <w14:textFill>
            <w14:solidFill>
              <w14:schemeClr w14:val="tx1"/>
            </w14:solidFill>
          </w14:textFill>
        </w:rPr>
        <w:t>万元整 (¥</w:t>
      </w:r>
      <w:r>
        <w:rPr>
          <w:rFonts w:hint="eastAsia" w:ascii="仿宋" w:hAnsi="仿宋" w:eastAsia="仿宋" w:cs="仿宋"/>
          <w:color w:val="000000" w:themeColor="text1"/>
          <w:spacing w:val="0"/>
          <w:sz w:val="20"/>
          <w:szCs w:val="20"/>
          <w:u w:val="single" w:color="auto"/>
          <w:lang w:val="en-US" w:eastAsia="zh-CN"/>
          <w14:textFill>
            <w14:solidFill>
              <w14:schemeClr w14:val="tx1"/>
            </w14:solidFill>
          </w14:textFill>
        </w:rPr>
        <w:t xml:space="preserve">        </w:t>
      </w:r>
      <w:r>
        <w:rPr>
          <w:rFonts w:hint="eastAsia" w:ascii="仿宋" w:hAnsi="仿宋" w:eastAsia="仿宋" w:cs="仿宋"/>
          <w:color w:val="000000" w:themeColor="text1"/>
          <w:spacing w:val="0"/>
          <w:sz w:val="20"/>
          <w:szCs w:val="20"/>
          <w14:textFill>
            <w14:solidFill>
              <w14:schemeClr w14:val="tx1"/>
            </w14:solidFill>
          </w14:textFill>
        </w:rPr>
        <w:t>元），包括完成本次服务的所有内容，包括但不限于项目调研费、现场踏勘费、人工费、材料费、交通费、住宿费、管理费、税金、利润、风险以及采购文件规定的其他费用，服务期内采购人不再增加任何费用。</w:t>
      </w:r>
    </w:p>
    <w:p w14:paraId="38F30E11">
      <w:pPr>
        <w:pStyle w:val="2"/>
        <w:keepNext w:val="0"/>
        <w:keepLines w:val="0"/>
        <w:pageBreakBefore w:val="0"/>
        <w:widowControl/>
        <w:shd w:val="clear"/>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pacing w:val="0"/>
          <w:sz w:val="20"/>
          <w:szCs w:val="20"/>
          <w:highlight w:val="none"/>
          <w:shd w:val="clear" w:fill="FFFFFF" w:themeFill="background1"/>
          <w14:textFill>
            <w14:solidFill>
              <w14:schemeClr w14:val="tx1"/>
            </w14:solidFill>
          </w14:textFill>
        </w:rPr>
      </w:pPr>
      <w:r>
        <w:rPr>
          <w:rFonts w:hint="eastAsia" w:ascii="仿宋" w:hAnsi="仿宋" w:eastAsia="仿宋" w:cs="仿宋"/>
          <w:color w:val="000000" w:themeColor="text1"/>
          <w:spacing w:val="0"/>
          <w:sz w:val="20"/>
          <w:szCs w:val="20"/>
          <w:highlight w:val="none"/>
          <w14:textFill>
            <w14:solidFill>
              <w14:schemeClr w14:val="tx1"/>
            </w14:solidFill>
          </w14:textFill>
        </w:rPr>
        <w:t>（</w:t>
      </w:r>
      <w:r>
        <w:rPr>
          <w:rFonts w:hint="eastAsia" w:ascii="仿宋" w:hAnsi="仿宋" w:eastAsia="仿宋" w:cs="仿宋"/>
          <w:color w:val="000000" w:themeColor="text1"/>
          <w:spacing w:val="0"/>
          <w:sz w:val="20"/>
          <w:szCs w:val="20"/>
          <w:highlight w:val="none"/>
          <w:shd w:val="clear" w:fill="FFFFFF" w:themeFill="background1"/>
          <w14:textFill>
            <w14:solidFill>
              <w14:schemeClr w14:val="tx1"/>
            </w14:solidFill>
          </w14:textFill>
        </w:rPr>
        <w:t>2）最终结算按</w:t>
      </w:r>
      <w:r>
        <w:rPr>
          <w:rFonts w:hint="eastAsia" w:ascii="仿宋" w:hAnsi="仿宋" w:eastAsia="仿宋" w:cs="仿宋"/>
          <w:color w:val="000000" w:themeColor="text1"/>
          <w:spacing w:val="0"/>
          <w:sz w:val="20"/>
          <w:szCs w:val="20"/>
          <w:highlight w:val="none"/>
          <w:shd w:val="clear" w:fill="FFFFFF" w:themeFill="background1"/>
          <w:lang w:val="en-US" w:eastAsia="zh-CN"/>
          <w14:textFill>
            <w14:solidFill>
              <w14:schemeClr w14:val="tx1"/>
            </w14:solidFill>
          </w14:textFill>
        </w:rPr>
        <w:t>合同(附录一)</w:t>
      </w:r>
      <w:r>
        <w:rPr>
          <w:rFonts w:hint="eastAsia" w:ascii="仿宋" w:hAnsi="仿宋" w:eastAsia="仿宋" w:cs="仿宋"/>
          <w:color w:val="000000" w:themeColor="text1"/>
          <w:spacing w:val="0"/>
          <w:sz w:val="20"/>
          <w:szCs w:val="20"/>
          <w:highlight w:val="none"/>
          <w:shd w:val="clear" w:fill="FFFFFF" w:themeFill="background1"/>
          <w14:textFill>
            <w14:solidFill>
              <w14:schemeClr w14:val="tx1"/>
            </w14:solidFill>
          </w14:textFill>
        </w:rPr>
        <w:t>规定价格的</w:t>
      </w:r>
      <w:r>
        <w:rPr>
          <w:rFonts w:hint="eastAsia" w:ascii="仿宋" w:hAnsi="仿宋" w:eastAsia="仿宋" w:cs="仿宋"/>
          <w:color w:val="000000" w:themeColor="text1"/>
          <w:spacing w:val="0"/>
          <w:sz w:val="20"/>
          <w:szCs w:val="20"/>
          <w:highlight w:val="none"/>
          <w:u w:val="single" w:color="auto"/>
          <w:shd w:val="clear" w:fill="FFFFFF" w:themeFill="background1"/>
          <w14:textFill>
            <w14:solidFill>
              <w14:schemeClr w14:val="tx1"/>
            </w14:solidFill>
          </w14:textFill>
        </w:rPr>
        <w:t xml:space="preserve">     </w:t>
      </w:r>
      <w:r>
        <w:rPr>
          <w:rFonts w:hint="eastAsia" w:ascii="仿宋" w:hAnsi="仿宋" w:eastAsia="仿宋" w:cs="仿宋"/>
          <w:color w:val="000000" w:themeColor="text1"/>
          <w:spacing w:val="0"/>
          <w:sz w:val="20"/>
          <w:szCs w:val="20"/>
          <w:highlight w:val="none"/>
          <w:shd w:val="clear" w:fill="FFFFFF" w:themeFill="background1"/>
          <w14:textFill>
            <w14:solidFill>
              <w14:schemeClr w14:val="tx1"/>
            </w14:solidFill>
          </w14:textFill>
        </w:rPr>
        <w:t>%进行结算。</w:t>
      </w:r>
    </w:p>
    <w:p w14:paraId="44E20B5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3"/>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b/>
          <w:bCs/>
          <w:color w:val="000000" w:themeColor="text1"/>
          <w:spacing w:val="0"/>
          <w:sz w:val="20"/>
          <w:szCs w:val="20"/>
          <w14:textFill>
            <w14:solidFill>
              <w14:schemeClr w14:val="tx1"/>
            </w14:solidFill>
          </w14:textFill>
        </w:rPr>
        <w:t>三、服务范围</w:t>
      </w:r>
    </w:p>
    <w:p w14:paraId="6C099291">
      <w:pPr>
        <w:numPr>
          <w:ilvl w:val="0"/>
          <w:numId w:val="0"/>
        </w:numPr>
        <w:spacing w:line="240" w:lineRule="auto"/>
        <w:ind w:firstLine="600" w:firstLineChars="300"/>
        <w:rPr>
          <w:rFonts w:hint="eastAsia" w:ascii="仿宋" w:hAnsi="仿宋" w:eastAsia="仿宋" w:cs="仿宋"/>
          <w:color w:val="000000" w:themeColor="text1"/>
          <w:spacing w:val="0"/>
          <w:kern w:val="0"/>
          <w:sz w:val="20"/>
          <w:szCs w:val="20"/>
          <w:lang w:val="en-US" w:eastAsia="zh-CN" w:bidi="ar-SA"/>
          <w14:textFill>
            <w14:solidFill>
              <w14:schemeClr w14:val="tx1"/>
            </w14:solidFill>
          </w14:textFill>
        </w:rPr>
      </w:pPr>
      <w:r>
        <w:rPr>
          <w:rFonts w:hint="eastAsia" w:ascii="仿宋" w:hAnsi="仿宋" w:eastAsia="仿宋" w:cs="仿宋"/>
          <w:color w:val="000000" w:themeColor="text1"/>
          <w:spacing w:val="0"/>
          <w:kern w:val="0"/>
          <w:sz w:val="20"/>
          <w:szCs w:val="20"/>
          <w:lang w:val="en-US" w:eastAsia="zh-CN" w:bidi="ar-SA"/>
          <w14:textFill>
            <w14:solidFill>
              <w14:schemeClr w14:val="tx1"/>
            </w14:solidFill>
          </w14:textFill>
        </w:rPr>
        <w:t>1.涉及市交通工程质监站监督的国省干线及重要农村公路建设项目工程实体、原材料等抽检试验。</w:t>
      </w:r>
    </w:p>
    <w:p w14:paraId="3195690B">
      <w:pPr>
        <w:numPr>
          <w:ilvl w:val="0"/>
          <w:numId w:val="0"/>
        </w:numPr>
        <w:spacing w:line="240" w:lineRule="auto"/>
        <w:ind w:firstLine="600" w:firstLineChars="300"/>
        <w:rPr>
          <w:rFonts w:hint="eastAsia" w:ascii="仿宋" w:hAnsi="仿宋" w:eastAsia="仿宋" w:cs="仿宋"/>
          <w:color w:val="000000" w:themeColor="text1"/>
          <w:spacing w:val="0"/>
          <w:kern w:val="0"/>
          <w:sz w:val="20"/>
          <w:szCs w:val="20"/>
          <w:lang w:val="en-US" w:eastAsia="zh-CN" w:bidi="ar-SA"/>
          <w14:textFill>
            <w14:solidFill>
              <w14:schemeClr w14:val="tx1"/>
            </w14:solidFill>
          </w14:textFill>
        </w:rPr>
      </w:pPr>
      <w:r>
        <w:rPr>
          <w:rFonts w:hint="eastAsia" w:ascii="仿宋" w:hAnsi="仿宋" w:eastAsia="仿宋" w:cs="仿宋"/>
          <w:color w:val="000000" w:themeColor="text1"/>
          <w:spacing w:val="0"/>
          <w:kern w:val="0"/>
          <w:sz w:val="20"/>
          <w:szCs w:val="20"/>
          <w:lang w:val="en-US" w:eastAsia="zh-CN" w:bidi="ar-SA"/>
          <w14:textFill>
            <w14:solidFill>
              <w14:schemeClr w14:val="tx1"/>
            </w14:solidFill>
          </w14:textFill>
        </w:rPr>
        <w:t>2.各县(市、区)级质量监督机构所监督的农村公路建设项目(县乡公路、安全生命防护工程等)工程实体、原材料等抽检试验。</w:t>
      </w:r>
    </w:p>
    <w:p w14:paraId="4331A14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96"/>
        <w:textAlignment w:val="baseline"/>
        <w:rPr>
          <w:rFonts w:hint="eastAsia" w:ascii="仿宋" w:hAnsi="仿宋" w:eastAsia="仿宋" w:cs="仿宋"/>
          <w:color w:val="000000" w:themeColor="text1"/>
          <w:spacing w:val="0"/>
          <w:sz w:val="20"/>
          <w:szCs w:val="20"/>
          <w14:textFill>
            <w14:solidFill>
              <w14:schemeClr w14:val="tx1"/>
            </w14:solidFill>
          </w14:textFill>
        </w:rPr>
      </w:pPr>
      <w:r>
        <w:rPr>
          <w:rFonts w:hint="eastAsia" w:ascii="仿宋" w:hAnsi="仿宋" w:eastAsia="仿宋" w:cs="仿宋"/>
          <w:b/>
          <w:bCs/>
          <w:color w:val="000000" w:themeColor="text1"/>
          <w:spacing w:val="0"/>
          <w:sz w:val="20"/>
          <w:szCs w:val="20"/>
          <w14:textFill>
            <w14:solidFill>
              <w14:schemeClr w14:val="tx1"/>
            </w14:solidFill>
          </w14:textFill>
        </w:rPr>
        <w:t>四、服务要求</w:t>
      </w:r>
    </w:p>
    <w:p w14:paraId="35E48F8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 w:firstLine="486"/>
        <w:jc w:val="both"/>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0"/>
          <w:sz w:val="20"/>
          <w:szCs w:val="20"/>
          <w14:textFill>
            <w14:solidFill>
              <w14:schemeClr w14:val="tx1"/>
            </w14:solidFill>
          </w14:textFill>
        </w:rPr>
        <w:t>1、进场人员管理：甲方发现进场的主要人员不能胜任工作，有权要求更换不合格人员。如果乙方不能及时按甲方现场工作组要求更换不合格人员，致使委托工程交工验收质量核验检测工作无法正常进行，甲方有权终止合同；甲方可根据委托工程进展情况，</w:t>
      </w:r>
      <w:r>
        <w:rPr>
          <w:rFonts w:hint="eastAsia" w:ascii="仿宋" w:hAnsi="仿宋" w:eastAsia="仿宋" w:cs="仿宋"/>
          <w:color w:val="000000" w:themeColor="text1"/>
          <w:spacing w:val="-2"/>
          <w:sz w:val="20"/>
          <w:szCs w:val="20"/>
          <w14:textFill>
            <w14:solidFill>
              <w14:schemeClr w14:val="tx1"/>
            </w14:solidFill>
          </w14:textFill>
        </w:rPr>
        <w:t>有权要求乙方增加或减少进场的试验检测人</w:t>
      </w:r>
      <w:r>
        <w:rPr>
          <w:rFonts w:hint="eastAsia" w:ascii="仿宋" w:hAnsi="仿宋" w:eastAsia="仿宋" w:cs="仿宋"/>
          <w:color w:val="000000" w:themeColor="text1"/>
          <w:spacing w:val="-3"/>
          <w:sz w:val="20"/>
          <w:szCs w:val="20"/>
          <w14:textFill>
            <w14:solidFill>
              <w14:schemeClr w14:val="tx1"/>
            </w14:solidFill>
          </w14:textFill>
        </w:rPr>
        <w:t>员。</w:t>
      </w:r>
    </w:p>
    <w:p w14:paraId="31C064E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firstLine="474"/>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
          <w:sz w:val="20"/>
          <w:szCs w:val="20"/>
          <w14:textFill>
            <w14:solidFill>
              <w14:schemeClr w14:val="tx1"/>
            </w14:solidFill>
          </w14:textFill>
        </w:rPr>
        <w:t>2、项目正式委托后，检测服务人员不得擅自离开工地，甲方应对检测人员的出勤</w:t>
      </w:r>
      <w:r>
        <w:rPr>
          <w:rFonts w:hint="eastAsia" w:ascii="仿宋" w:hAnsi="仿宋" w:eastAsia="仿宋" w:cs="仿宋"/>
          <w:color w:val="000000" w:themeColor="text1"/>
          <w:spacing w:val="-5"/>
          <w:sz w:val="20"/>
          <w:szCs w:val="20"/>
          <w14:textFill>
            <w14:solidFill>
              <w14:schemeClr w14:val="tx1"/>
            </w14:solidFill>
          </w14:textFill>
        </w:rPr>
        <w:t>情况进行考核。乙方应建立节假日出勤制度及考勤制度， 甲方有权查阅各单位的考勤记</w:t>
      </w:r>
      <w:r>
        <w:rPr>
          <w:rFonts w:hint="eastAsia" w:ascii="仿宋" w:hAnsi="仿宋" w:eastAsia="仿宋" w:cs="仿宋"/>
          <w:color w:val="000000" w:themeColor="text1"/>
          <w:spacing w:val="-1"/>
          <w:sz w:val="20"/>
          <w:szCs w:val="20"/>
          <w14:textFill>
            <w14:solidFill>
              <w14:schemeClr w14:val="tx1"/>
            </w14:solidFill>
          </w14:textFill>
        </w:rPr>
        <w:t>录及检查现场人员出勤情况，项目负责人请</w:t>
      </w:r>
      <w:r>
        <w:rPr>
          <w:rFonts w:hint="eastAsia" w:ascii="仿宋" w:hAnsi="仿宋" w:eastAsia="仿宋" w:cs="仿宋"/>
          <w:color w:val="000000" w:themeColor="text1"/>
          <w:spacing w:val="-2"/>
          <w:sz w:val="20"/>
          <w:szCs w:val="20"/>
          <w14:textFill>
            <w14:solidFill>
              <w14:schemeClr w14:val="tx1"/>
            </w14:solidFill>
          </w14:textFill>
        </w:rPr>
        <w:t>假在2天以内，主要人员请假在3天以内，一般人员请假在5天以内，须得到甲方现场负责人的同意；项目负责人请假在2天（含2天</w:t>
      </w:r>
      <w:r>
        <w:rPr>
          <w:rFonts w:hint="eastAsia" w:ascii="仿宋" w:hAnsi="仿宋" w:eastAsia="仿宋" w:cs="仿宋"/>
          <w:color w:val="000000" w:themeColor="text1"/>
          <w:spacing w:val="-1"/>
          <w:sz w:val="20"/>
          <w:szCs w:val="20"/>
          <w14:textFill>
            <w14:solidFill>
              <w14:schemeClr w14:val="tx1"/>
            </w14:solidFill>
          </w14:textFill>
        </w:rPr>
        <w:t>以上，主要人员请假在3天（含3天）以上，一</w:t>
      </w:r>
      <w:r>
        <w:rPr>
          <w:rFonts w:hint="eastAsia" w:ascii="仿宋" w:hAnsi="仿宋" w:eastAsia="仿宋" w:cs="仿宋"/>
          <w:color w:val="000000" w:themeColor="text1"/>
          <w:spacing w:val="-2"/>
          <w:sz w:val="20"/>
          <w:szCs w:val="20"/>
          <w14:textFill>
            <w14:solidFill>
              <w14:schemeClr w14:val="tx1"/>
            </w14:solidFill>
          </w14:textFill>
        </w:rPr>
        <w:t>般人员请假在5天（含5天）以上，须得到</w:t>
      </w:r>
      <w:r>
        <w:rPr>
          <w:rFonts w:hint="eastAsia" w:ascii="仿宋" w:hAnsi="仿宋" w:eastAsia="仿宋" w:cs="仿宋"/>
          <w:color w:val="000000" w:themeColor="text1"/>
          <w:sz w:val="20"/>
          <w:szCs w:val="20"/>
          <w14:textFill>
            <w14:solidFill>
              <w14:schemeClr w14:val="tx1"/>
            </w14:solidFill>
          </w14:textFill>
        </w:rPr>
        <w:t>甲方同意，对擅自离开工地的检测试验人员分别处以每天2000、1000、</w:t>
      </w:r>
      <w:r>
        <w:rPr>
          <w:rFonts w:hint="eastAsia" w:ascii="仿宋" w:hAnsi="仿宋" w:eastAsia="仿宋" w:cs="仿宋"/>
          <w:color w:val="000000" w:themeColor="text1"/>
          <w:spacing w:val="-1"/>
          <w:sz w:val="20"/>
          <w:szCs w:val="20"/>
          <w14:textFill>
            <w14:solidFill>
              <w14:schemeClr w14:val="tx1"/>
            </w14:solidFill>
          </w14:textFill>
        </w:rPr>
        <w:t>500元的违约偿</w:t>
      </w:r>
      <w:r>
        <w:rPr>
          <w:rFonts w:hint="eastAsia" w:ascii="仿宋" w:hAnsi="仿宋" w:eastAsia="仿宋" w:cs="仿宋"/>
          <w:color w:val="000000" w:themeColor="text1"/>
          <w:spacing w:val="-11"/>
          <w:sz w:val="20"/>
          <w:szCs w:val="20"/>
          <w14:textFill>
            <w14:solidFill>
              <w14:schemeClr w14:val="tx1"/>
            </w14:solidFill>
          </w14:textFill>
        </w:rPr>
        <w:t>金。</w:t>
      </w:r>
    </w:p>
    <w:p w14:paraId="5778ADF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1" w:right="105" w:firstLine="474"/>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3、乙方应在签订正式项目检测合同7日内，根据甲方批准的施工计划，乙方向甲方提交检测总体计划，检测计划应紧密与施工安排相协调。</w:t>
      </w:r>
    </w:p>
    <w:p w14:paraId="7ECE6CD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1" w:right="103" w:firstLine="468"/>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
          <w:sz w:val="20"/>
          <w:szCs w:val="20"/>
          <w14:textFill>
            <w14:solidFill>
              <w14:schemeClr w14:val="tx1"/>
            </w14:solidFill>
          </w14:textFill>
        </w:rPr>
        <w:t>4、乙方在检测试验服务期内应自费为其所有检测人员及服务任务提供保险，包括</w:t>
      </w:r>
      <w:r>
        <w:rPr>
          <w:rFonts w:hint="eastAsia" w:ascii="仿宋" w:hAnsi="仿宋" w:eastAsia="仿宋" w:cs="仿宋"/>
          <w:color w:val="000000" w:themeColor="text1"/>
          <w:spacing w:val="-7"/>
          <w:sz w:val="20"/>
          <w:szCs w:val="20"/>
          <w14:textFill>
            <w14:solidFill>
              <w14:schemeClr w14:val="tx1"/>
            </w14:solidFill>
          </w14:textFill>
        </w:rPr>
        <w:t>医疗、人身意外伤害等一切保险。检测人员的任何疾病、伤害及意外均由乙方负责，甲</w:t>
      </w:r>
      <w:r>
        <w:rPr>
          <w:rFonts w:hint="eastAsia" w:ascii="仿宋" w:hAnsi="仿宋" w:eastAsia="仿宋" w:cs="仿宋"/>
          <w:color w:val="000000" w:themeColor="text1"/>
          <w:spacing w:val="-4"/>
          <w:sz w:val="20"/>
          <w:szCs w:val="20"/>
          <w14:textFill>
            <w14:solidFill>
              <w14:schemeClr w14:val="tx1"/>
            </w14:solidFill>
          </w14:textFill>
        </w:rPr>
        <w:t>方不承担任何责任和费用。</w:t>
      </w:r>
    </w:p>
    <w:p w14:paraId="34E94E2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 w:right="106" w:firstLine="473"/>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
          <w:sz w:val="20"/>
          <w:szCs w:val="20"/>
          <w14:textFill>
            <w14:solidFill>
              <w14:schemeClr w14:val="tx1"/>
            </w14:solidFill>
          </w14:textFill>
        </w:rPr>
        <w:t>5、乙方在工作过程中，要制定详尽的安全措施及预案，保证</w:t>
      </w:r>
      <w:r>
        <w:rPr>
          <w:rFonts w:hint="eastAsia" w:ascii="仿宋" w:hAnsi="仿宋" w:eastAsia="仿宋" w:cs="仿宋"/>
          <w:color w:val="000000" w:themeColor="text1"/>
          <w:spacing w:val="-2"/>
          <w:sz w:val="20"/>
          <w:szCs w:val="20"/>
          <w14:textFill>
            <w14:solidFill>
              <w14:schemeClr w14:val="tx1"/>
            </w14:solidFill>
          </w14:textFill>
        </w:rPr>
        <w:t>充足的安全生产费用投入，配备足够的安全设施及人员，杜绝安全责任事故发生，甲方不承担任何责任和费</w:t>
      </w:r>
      <w:r>
        <w:rPr>
          <w:rFonts w:hint="eastAsia" w:ascii="仿宋" w:hAnsi="仿宋" w:eastAsia="仿宋" w:cs="仿宋"/>
          <w:color w:val="000000" w:themeColor="text1"/>
          <w:spacing w:val="-12"/>
          <w:sz w:val="20"/>
          <w:szCs w:val="20"/>
          <w14:textFill>
            <w14:solidFill>
              <w14:schemeClr w14:val="tx1"/>
            </w14:solidFill>
          </w14:textFill>
        </w:rPr>
        <w:t>用。</w:t>
      </w:r>
    </w:p>
    <w:p w14:paraId="505A050F">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185" w:firstLine="473"/>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6、在检测期间有下列情况之一时，将视为乙方违约</w:t>
      </w:r>
      <w:r>
        <w:rPr>
          <w:rFonts w:hint="eastAsia" w:ascii="仿宋" w:hAnsi="仿宋" w:eastAsia="仿宋" w:cs="仿宋"/>
          <w:color w:val="000000" w:themeColor="text1"/>
          <w:spacing w:val="-1"/>
          <w:sz w:val="20"/>
          <w:szCs w:val="20"/>
          <w14:textFill>
            <w14:solidFill>
              <w14:schemeClr w14:val="tx1"/>
            </w14:solidFill>
          </w14:textFill>
        </w:rPr>
        <w:t>，甲方有权终止合同或要求赔</w:t>
      </w:r>
      <w:r>
        <w:rPr>
          <w:rFonts w:hint="eastAsia" w:ascii="仿宋" w:hAnsi="仿宋" w:eastAsia="仿宋" w:cs="仿宋"/>
          <w:color w:val="000000" w:themeColor="text1"/>
          <w:spacing w:val="-11"/>
          <w:sz w:val="20"/>
          <w:szCs w:val="20"/>
          <w14:textFill>
            <w14:solidFill>
              <w14:schemeClr w14:val="tx1"/>
            </w14:solidFill>
          </w14:textFill>
        </w:rPr>
        <w:t>偿。</w:t>
      </w:r>
    </w:p>
    <w:p w14:paraId="3F10607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7"/>
          <w:sz w:val="20"/>
          <w:szCs w:val="20"/>
          <w14:textFill>
            <w14:solidFill>
              <w14:schemeClr w14:val="tx1"/>
            </w14:solidFill>
          </w14:textFill>
        </w:rPr>
        <w:t>（1）转包检测合同；</w:t>
      </w:r>
    </w:p>
    <w:p w14:paraId="2EC09DA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5"/>
          <w:sz w:val="20"/>
          <w:szCs w:val="20"/>
          <w14:textFill>
            <w14:solidFill>
              <w14:schemeClr w14:val="tx1"/>
            </w14:solidFill>
          </w14:textFill>
        </w:rPr>
        <w:t>（2）乙方所出资料有弄虚作假；</w:t>
      </w:r>
    </w:p>
    <w:p w14:paraId="4064341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（3）由于检测工作失误或疏忽，使工程损失</w:t>
      </w:r>
      <w:r>
        <w:rPr>
          <w:rFonts w:hint="eastAsia" w:ascii="仿宋" w:hAnsi="仿宋" w:eastAsia="仿宋" w:cs="仿宋"/>
          <w:color w:val="000000" w:themeColor="text1"/>
          <w:spacing w:val="-3"/>
          <w:sz w:val="20"/>
          <w:szCs w:val="20"/>
          <w14:textFill>
            <w14:solidFill>
              <w14:schemeClr w14:val="tx1"/>
            </w14:solidFill>
          </w14:textFill>
        </w:rPr>
        <w:t>较大或使关键工程延期；</w:t>
      </w:r>
    </w:p>
    <w:p w14:paraId="0327CEAF">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（4）乙方违反合同的规定并造成甲方经济损失的应向甲方赔偿。</w:t>
      </w:r>
    </w:p>
    <w:p w14:paraId="6C656C8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4"/>
          <w:sz w:val="20"/>
          <w:szCs w:val="20"/>
          <w14:textFill>
            <w14:solidFill>
              <w14:schemeClr w14:val="tx1"/>
            </w14:solidFill>
          </w14:textFill>
        </w:rPr>
        <w:t>7、赔偿的限额</w:t>
      </w:r>
    </w:p>
    <w:p w14:paraId="718E3B4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106" w:firstLine="469"/>
        <w:jc w:val="both"/>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在此双方约定，双方的赔偿金额不超过服务总费用的10%，一致</w:t>
      </w:r>
      <w:r>
        <w:rPr>
          <w:rFonts w:hint="eastAsia" w:ascii="仿宋" w:hAnsi="仿宋" w:eastAsia="仿宋" w:cs="仿宋"/>
          <w:color w:val="000000" w:themeColor="text1"/>
          <w:spacing w:val="-1"/>
          <w:sz w:val="20"/>
          <w:szCs w:val="20"/>
          <w14:textFill>
            <w14:solidFill>
              <w14:schemeClr w14:val="tx1"/>
            </w14:solidFill>
          </w14:textFill>
        </w:rPr>
        <w:t>同意放弃超过该限</w:t>
      </w:r>
      <w:r>
        <w:rPr>
          <w:rFonts w:hint="eastAsia" w:ascii="仿宋" w:hAnsi="仿宋" w:eastAsia="仿宋" w:cs="仿宋"/>
          <w:color w:val="000000" w:themeColor="text1"/>
          <w:spacing w:val="-2"/>
          <w:sz w:val="20"/>
          <w:szCs w:val="20"/>
          <w14:textFill>
            <w14:solidFill>
              <w14:schemeClr w14:val="tx1"/>
            </w14:solidFill>
          </w14:textFill>
        </w:rPr>
        <w:t>额的剩余赔偿要求。但本合同条件其它条款规定的补偿和由于任何一方故意违约而引起</w:t>
      </w:r>
      <w:r>
        <w:rPr>
          <w:rFonts w:hint="eastAsia" w:ascii="仿宋" w:hAnsi="仿宋" w:eastAsia="仿宋" w:cs="仿宋"/>
          <w:color w:val="000000" w:themeColor="text1"/>
          <w:spacing w:val="15"/>
          <w:sz w:val="20"/>
          <w:szCs w:val="20"/>
          <w14:textFill>
            <w14:solidFill>
              <w14:schemeClr w14:val="tx1"/>
            </w14:solidFill>
          </w14:textFill>
        </w:rPr>
        <w:t xml:space="preserve"> </w:t>
      </w:r>
      <w:r>
        <w:rPr>
          <w:rFonts w:hint="eastAsia" w:ascii="仿宋" w:hAnsi="仿宋" w:eastAsia="仿宋" w:cs="仿宋"/>
          <w:color w:val="000000" w:themeColor="text1"/>
          <w:spacing w:val="-4"/>
          <w:sz w:val="20"/>
          <w:szCs w:val="20"/>
          <w14:textFill>
            <w14:solidFill>
              <w14:schemeClr w14:val="tx1"/>
            </w14:solidFill>
          </w14:textFill>
        </w:rPr>
        <w:t>的索赔，不受该限额的限制。</w:t>
      </w:r>
    </w:p>
    <w:p w14:paraId="77794663">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2"/>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8、检测工作完成后将检测试验报告装订成册，一式六份，报甲方。</w:t>
      </w:r>
    </w:p>
    <w:p w14:paraId="1732642D">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3"/>
          <w:sz w:val="20"/>
          <w:szCs w:val="20"/>
          <w14:textFill>
            <w14:solidFill>
              <w14:schemeClr w14:val="tx1"/>
            </w14:solidFill>
          </w14:textFill>
        </w:rPr>
        <w:t>五、服务期限（项目完成期限</w:t>
      </w:r>
      <w:r>
        <w:rPr>
          <w:rFonts w:hint="eastAsia" w:ascii="仿宋" w:hAnsi="仿宋" w:eastAsia="仿宋" w:cs="仿宋"/>
          <w:b/>
          <w:bCs/>
          <w:color w:val="000000" w:themeColor="text1"/>
          <w:spacing w:val="3"/>
          <w:sz w:val="20"/>
          <w:szCs w:val="20"/>
          <w14:textFill>
            <w14:solidFill>
              <w14:schemeClr w14:val="tx1"/>
            </w14:solidFill>
          </w14:textFill>
        </w:rPr>
        <w:t>）：</w:t>
      </w:r>
      <w:r>
        <w:rPr>
          <w:rFonts w:hint="eastAsia" w:ascii="仿宋" w:hAnsi="仿宋" w:eastAsia="仿宋" w:cs="仿宋"/>
          <w:color w:val="000000" w:themeColor="text1"/>
          <w:spacing w:val="7"/>
          <w:sz w:val="20"/>
          <w:szCs w:val="20"/>
          <w:u w:val="single" w:color="auto"/>
          <w14:textFill>
            <w14:solidFill>
              <w14:schemeClr w14:val="tx1"/>
            </w14:solidFill>
          </w14:textFill>
        </w:rPr>
        <w:t xml:space="preserve">               </w:t>
      </w:r>
      <w:r>
        <w:rPr>
          <w:rFonts w:hint="eastAsia" w:ascii="仿宋" w:hAnsi="仿宋" w:eastAsia="仿宋" w:cs="仿宋"/>
          <w:color w:val="000000" w:themeColor="text1"/>
          <w:spacing w:val="-3"/>
          <w:sz w:val="20"/>
          <w:szCs w:val="20"/>
          <w14:textFill>
            <w14:solidFill>
              <w14:schemeClr w14:val="tx1"/>
            </w14:solidFill>
          </w14:textFill>
        </w:rPr>
        <w:t>。</w:t>
      </w:r>
    </w:p>
    <w:p w14:paraId="581D2E68">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106" w:firstLine="469"/>
        <w:jc w:val="both"/>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六、付款方式</w:t>
      </w:r>
    </w:p>
    <w:p w14:paraId="2ADEA0C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106" w:firstLine="469"/>
        <w:jc w:val="both"/>
        <w:textAlignment w:val="baseline"/>
        <w:rPr>
          <w:rFonts w:hint="eastAsia" w:ascii="仿宋" w:hAnsi="仿宋" w:eastAsia="仿宋" w:cs="仿宋"/>
          <w:color w:val="000000" w:themeColor="text1"/>
          <w:sz w:val="20"/>
          <w:szCs w:val="20"/>
          <w:u w:val="single"/>
          <w:lang w:val="en-US" w:eastAsia="zh-CN"/>
          <w14:textFill>
            <w14:solidFill>
              <w14:schemeClr w14:val="tx1"/>
            </w14:solidFill>
          </w14:textFill>
        </w:rPr>
      </w:pPr>
      <w:r>
        <w:rPr>
          <w:rFonts w:hint="eastAsia" w:ascii="仿宋" w:hAnsi="仿宋" w:eastAsia="仿宋" w:cs="仿宋"/>
          <w:color w:val="000000" w:themeColor="text1"/>
          <w:sz w:val="20"/>
          <w:szCs w:val="20"/>
          <w:u w:val="single"/>
          <w:lang w:val="en-US" w:eastAsia="zh-CN"/>
          <w14:textFill>
            <w14:solidFill>
              <w14:schemeClr w14:val="tx1"/>
            </w14:solidFill>
          </w14:textFill>
        </w:rPr>
        <w:t>1、8月31日前将完成检测项目业务量及结算资料报采购人审核，采购人接到结算审核申请后7日内予以审核，并在审核完成后14日根据实际完成业务量进行支付；</w:t>
      </w:r>
    </w:p>
    <w:p w14:paraId="63F21E9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106" w:firstLine="469"/>
        <w:jc w:val="both"/>
        <w:textAlignment w:val="baseline"/>
        <w:rPr>
          <w:rFonts w:hint="eastAsia" w:ascii="仿宋" w:hAnsi="仿宋" w:eastAsia="仿宋" w:cs="仿宋"/>
          <w:color w:val="000000" w:themeColor="text1"/>
          <w:sz w:val="20"/>
          <w:szCs w:val="20"/>
          <w:u w:val="single"/>
          <w:lang w:val="en-US" w:eastAsia="zh-CN"/>
          <w14:textFill>
            <w14:solidFill>
              <w14:schemeClr w14:val="tx1"/>
            </w14:solidFill>
          </w14:textFill>
        </w:rPr>
      </w:pPr>
      <w:r>
        <w:rPr>
          <w:rFonts w:hint="eastAsia" w:ascii="仿宋" w:hAnsi="仿宋" w:eastAsia="仿宋" w:cs="仿宋"/>
          <w:color w:val="000000" w:themeColor="text1"/>
          <w:sz w:val="20"/>
          <w:szCs w:val="20"/>
          <w:u w:val="single"/>
          <w:lang w:val="en-US" w:eastAsia="zh-CN"/>
          <w14:textFill>
            <w14:solidFill>
              <w14:schemeClr w14:val="tx1"/>
            </w14:solidFill>
          </w14:textFill>
        </w:rPr>
        <w:t>2、12月31日前将完成检测项目业务量及结算资料报采购人审核，采购人接到结算审核申请后7日内予以审核，并在审核完成后14日根据实际完成业务量进行支付。</w:t>
      </w:r>
    </w:p>
    <w:p w14:paraId="3595834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106" w:firstLine="469"/>
        <w:jc w:val="both"/>
        <w:textAlignment w:val="baseline"/>
        <w:rPr>
          <w:rFonts w:hint="eastAsia" w:ascii="仿宋" w:hAnsi="仿宋" w:eastAsia="仿宋" w:cs="仿宋"/>
          <w:color w:val="000000" w:themeColor="text1"/>
          <w:sz w:val="20"/>
          <w:szCs w:val="20"/>
          <w:u w:val="single"/>
          <w:lang w:val="en-US" w:eastAsia="zh-CN"/>
          <w14:textFill>
            <w14:solidFill>
              <w14:schemeClr w14:val="tx1"/>
            </w14:solidFill>
          </w14:textFill>
        </w:rPr>
      </w:pPr>
      <w:r>
        <w:rPr>
          <w:rFonts w:hint="eastAsia" w:ascii="仿宋" w:hAnsi="仿宋" w:eastAsia="仿宋" w:cs="仿宋"/>
          <w:color w:val="000000" w:themeColor="text1"/>
          <w:sz w:val="20"/>
          <w:szCs w:val="20"/>
          <w:u w:val="single"/>
          <w:lang w:val="en-US" w:eastAsia="zh-Hans"/>
          <w14:textFill>
            <w14:solidFill>
              <w14:schemeClr w14:val="tx1"/>
            </w14:solidFill>
          </w14:textFill>
        </w:rPr>
        <w:t>供应商以</w:t>
      </w:r>
      <w:r>
        <w:rPr>
          <w:rFonts w:hint="eastAsia" w:ascii="仿宋" w:hAnsi="仿宋" w:eastAsia="仿宋" w:cs="仿宋"/>
          <w:color w:val="000000" w:themeColor="text1"/>
          <w:sz w:val="20"/>
          <w:szCs w:val="20"/>
          <w:u w:val="single"/>
          <w:lang w:val="en-US" w:eastAsia="zh-CN"/>
          <w14:textFill>
            <w14:solidFill>
              <w14:schemeClr w14:val="tx1"/>
            </w14:solidFill>
          </w14:textFill>
        </w:rPr>
        <w:t>附录一</w:t>
      </w:r>
      <w:r>
        <w:rPr>
          <w:rFonts w:hint="eastAsia" w:ascii="仿宋" w:hAnsi="仿宋" w:eastAsia="仿宋" w:cs="仿宋"/>
          <w:color w:val="000000" w:themeColor="text1"/>
          <w:sz w:val="20"/>
          <w:szCs w:val="20"/>
          <w:u w:val="single"/>
          <w:lang w:val="en-US" w:eastAsia="zh-Hans"/>
          <w14:textFill>
            <w14:solidFill>
              <w14:schemeClr w14:val="tx1"/>
            </w14:solidFill>
          </w14:textFill>
        </w:rPr>
        <w:t>规定的价格为依据进行结算</w:t>
      </w:r>
      <w:r>
        <w:rPr>
          <w:rFonts w:hint="eastAsia" w:ascii="仿宋" w:hAnsi="仿宋" w:eastAsia="仿宋" w:cs="仿宋"/>
          <w:color w:val="000000" w:themeColor="text1"/>
          <w:sz w:val="20"/>
          <w:szCs w:val="20"/>
          <w:u w:val="single"/>
          <w:lang w:val="en-US" w:eastAsia="zh-CN"/>
          <w14:textFill>
            <w14:solidFill>
              <w14:schemeClr w14:val="tx1"/>
            </w14:solidFill>
          </w14:textFill>
        </w:rPr>
        <w:t>。</w:t>
      </w:r>
    </w:p>
    <w:p w14:paraId="75637F1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2"/>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3"/>
          <w:sz w:val="20"/>
          <w:szCs w:val="20"/>
          <w14:textFill>
            <w14:solidFill>
              <w14:schemeClr w14:val="tx1"/>
            </w14:solidFill>
          </w14:textFill>
        </w:rPr>
        <w:t>七、违约责任与赔偿损失</w:t>
      </w:r>
    </w:p>
    <w:p w14:paraId="49BB5F7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6" w:right="220" w:firstLine="482"/>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3"/>
          <w:sz w:val="20"/>
          <w:szCs w:val="20"/>
          <w14:textFill>
            <w14:solidFill>
              <w14:schemeClr w14:val="tx1"/>
            </w14:solidFill>
          </w14:textFill>
        </w:rPr>
        <w:t>1)乙方提供的服务不符合采购文件、报价文件或本合同规定的，</w:t>
      </w:r>
      <w:r>
        <w:rPr>
          <w:rFonts w:hint="eastAsia" w:ascii="仿宋" w:hAnsi="仿宋" w:eastAsia="仿宋" w:cs="仿宋"/>
          <w:color w:val="000000" w:themeColor="text1"/>
          <w:spacing w:val="-4"/>
          <w:sz w:val="20"/>
          <w:szCs w:val="20"/>
          <w14:textFill>
            <w14:solidFill>
              <w14:schemeClr w14:val="tx1"/>
            </w14:solidFill>
          </w14:textFill>
        </w:rPr>
        <w:t>甲方有权拒收，</w:t>
      </w:r>
      <w:r>
        <w:rPr>
          <w:rFonts w:hint="eastAsia" w:ascii="仿宋" w:hAnsi="仿宋" w:eastAsia="仿宋" w:cs="仿宋"/>
          <w:color w:val="000000" w:themeColor="text1"/>
          <w:spacing w:val="-2"/>
          <w:sz w:val="20"/>
          <w:szCs w:val="20"/>
          <w14:textFill>
            <w14:solidFill>
              <w14:schemeClr w14:val="tx1"/>
            </w14:solidFill>
          </w14:textFill>
        </w:rPr>
        <w:t>并且乙方须向甲方方支付本合同总价5%的违约金。</w:t>
      </w:r>
    </w:p>
    <w:p w14:paraId="28DEA5B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1" w:right="157" w:firstLine="472"/>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
          <w:sz w:val="20"/>
          <w:szCs w:val="20"/>
          <w14:textFill>
            <w14:solidFill>
              <w14:schemeClr w14:val="tx1"/>
            </w14:solidFill>
          </w14:textFill>
        </w:rPr>
        <w:t>2)乙方未能按本合同规定的交货时间提供服务，从逾期</w:t>
      </w:r>
      <w:r>
        <w:rPr>
          <w:rFonts w:hint="eastAsia" w:ascii="仿宋" w:hAnsi="仿宋" w:eastAsia="仿宋" w:cs="仿宋"/>
          <w:color w:val="000000" w:themeColor="text1"/>
          <w:spacing w:val="-2"/>
          <w:sz w:val="20"/>
          <w:szCs w:val="20"/>
          <w14:textFill>
            <w14:solidFill>
              <w14:schemeClr w14:val="tx1"/>
            </w14:solidFill>
          </w14:textFill>
        </w:rPr>
        <w:t>之日起每日按本合同总价</w:t>
      </w:r>
      <w:r>
        <w:rPr>
          <w:rFonts w:hint="eastAsia" w:ascii="仿宋" w:hAnsi="仿宋" w:eastAsia="仿宋" w:cs="仿宋"/>
          <w:color w:val="000000" w:themeColor="text1"/>
          <w:sz w:val="20"/>
          <w:szCs w:val="20"/>
          <w14:textFill>
            <w14:solidFill>
              <w14:schemeClr w14:val="tx1"/>
            </w14:solidFill>
          </w14:textFill>
        </w:rPr>
        <w:t>3‰的数额向甲方支付违约金；逾期半个月以上的，甲方有</w:t>
      </w:r>
      <w:r>
        <w:rPr>
          <w:rFonts w:hint="eastAsia" w:ascii="仿宋" w:hAnsi="仿宋" w:eastAsia="仿宋" w:cs="仿宋"/>
          <w:color w:val="000000" w:themeColor="text1"/>
          <w:spacing w:val="-1"/>
          <w:sz w:val="20"/>
          <w:szCs w:val="20"/>
          <w14:textFill>
            <w14:solidFill>
              <w14:schemeClr w14:val="tx1"/>
            </w14:solidFill>
          </w14:textFill>
        </w:rPr>
        <w:t>权终止合同，由此造成的甲</w:t>
      </w:r>
      <w:r>
        <w:rPr>
          <w:rFonts w:hint="eastAsia" w:ascii="仿宋" w:hAnsi="仿宋" w:eastAsia="仿宋" w:cs="仿宋"/>
          <w:color w:val="000000" w:themeColor="text1"/>
          <w:sz w:val="20"/>
          <w:szCs w:val="20"/>
          <w14:textFill>
            <w14:solidFill>
              <w14:schemeClr w14:val="tx1"/>
            </w14:solidFill>
          </w14:textFill>
        </w:rPr>
        <w:t xml:space="preserve"> </w:t>
      </w:r>
      <w:r>
        <w:rPr>
          <w:rFonts w:hint="eastAsia" w:ascii="仿宋" w:hAnsi="仿宋" w:eastAsia="仿宋" w:cs="仿宋"/>
          <w:color w:val="000000" w:themeColor="text1"/>
          <w:spacing w:val="-4"/>
          <w:sz w:val="20"/>
          <w:szCs w:val="20"/>
          <w14:textFill>
            <w14:solidFill>
              <w14:schemeClr w14:val="tx1"/>
            </w14:solidFill>
          </w14:textFill>
        </w:rPr>
        <w:t>方经济损失由乙方承担。</w:t>
      </w:r>
    </w:p>
    <w:p w14:paraId="2CAB09A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7" w:right="165" w:firstLine="468"/>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3)甲方无正当理由拒收接受服务，到期拒付服务款项的，甲方向乙方偿付本合同</w:t>
      </w:r>
      <w:r>
        <w:rPr>
          <w:rFonts w:hint="eastAsia" w:ascii="仿宋" w:hAnsi="仿宋" w:eastAsia="仿宋" w:cs="仿宋"/>
          <w:color w:val="000000" w:themeColor="text1"/>
          <w:spacing w:val="-1"/>
          <w:sz w:val="20"/>
          <w:szCs w:val="20"/>
          <w14:textFill>
            <w14:solidFill>
              <w14:schemeClr w14:val="tx1"/>
            </w14:solidFill>
          </w14:textFill>
        </w:rPr>
        <w:t>总的5%的违约金。甲方人逾期付款，则每日按本合同总价的3‰</w:t>
      </w:r>
      <w:r>
        <w:rPr>
          <w:rFonts w:hint="eastAsia" w:ascii="仿宋" w:hAnsi="仿宋" w:eastAsia="仿宋" w:cs="仿宋"/>
          <w:color w:val="000000" w:themeColor="text1"/>
          <w:spacing w:val="-2"/>
          <w:sz w:val="20"/>
          <w:szCs w:val="20"/>
          <w14:textFill>
            <w14:solidFill>
              <w14:schemeClr w14:val="tx1"/>
            </w14:solidFill>
          </w14:textFill>
        </w:rPr>
        <w:t>向乙方偿付违约金。</w:t>
      </w:r>
    </w:p>
    <w:p w14:paraId="0C85CC5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0"/>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4) 其它违约责任按《中华人民共和国民法典》处理。</w:t>
      </w:r>
    </w:p>
    <w:p w14:paraId="1F5DDB44">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4"/>
          <w:sz w:val="20"/>
          <w:szCs w:val="20"/>
          <w14:textFill>
            <w14:solidFill>
              <w14:schemeClr w14:val="tx1"/>
            </w14:solidFill>
          </w14:textFill>
        </w:rPr>
        <w:t>八、争端的解决</w:t>
      </w:r>
    </w:p>
    <w:p w14:paraId="74ECD09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5" w:right="85" w:firstLine="466"/>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
          <w:sz w:val="20"/>
          <w:szCs w:val="20"/>
          <w14:textFill>
            <w14:solidFill>
              <w14:schemeClr w14:val="tx1"/>
            </w14:solidFill>
          </w14:textFill>
        </w:rPr>
        <w:t>合同执行过程中发生的任何争议，如双方不能通过</w:t>
      </w:r>
      <w:r>
        <w:rPr>
          <w:rFonts w:hint="eastAsia" w:ascii="仿宋" w:hAnsi="仿宋" w:eastAsia="仿宋" w:cs="仿宋"/>
          <w:color w:val="000000" w:themeColor="text1"/>
          <w:spacing w:val="-2"/>
          <w:sz w:val="20"/>
          <w:szCs w:val="20"/>
          <w14:textFill>
            <w14:solidFill>
              <w14:schemeClr w14:val="tx1"/>
            </w14:solidFill>
          </w14:textFill>
        </w:rPr>
        <w:t>友好协商解决，按相关法律法规</w:t>
      </w:r>
      <w:r>
        <w:rPr>
          <w:rFonts w:hint="eastAsia" w:ascii="仿宋" w:hAnsi="仿宋" w:eastAsia="仿宋" w:cs="仿宋"/>
          <w:color w:val="000000" w:themeColor="text1"/>
          <w:spacing w:val="-11"/>
          <w:sz w:val="20"/>
          <w:szCs w:val="20"/>
          <w14:textFill>
            <w14:solidFill>
              <w14:schemeClr w14:val="tx1"/>
            </w14:solidFill>
          </w14:textFill>
        </w:rPr>
        <w:t>处理。</w:t>
      </w:r>
    </w:p>
    <w:p w14:paraId="421CF04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1" w:right="84" w:firstLine="477"/>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2"/>
          <w:sz w:val="20"/>
          <w:szCs w:val="20"/>
          <w14:textFill>
            <w14:solidFill>
              <w14:schemeClr w14:val="tx1"/>
            </w14:solidFill>
          </w14:textFill>
        </w:rPr>
        <w:t>九、不可抗力</w:t>
      </w:r>
      <w:r>
        <w:rPr>
          <w:rFonts w:hint="eastAsia" w:ascii="仿宋" w:hAnsi="仿宋" w:eastAsia="仿宋" w:cs="仿宋"/>
          <w:color w:val="000000" w:themeColor="text1"/>
          <w:spacing w:val="-2"/>
          <w:sz w:val="20"/>
          <w:szCs w:val="20"/>
          <w:lang w:eastAsia="zh-CN"/>
          <w14:textFill>
            <w14:solidFill>
              <w14:schemeClr w14:val="tx1"/>
            </w14:solidFill>
          </w14:textFill>
        </w:rPr>
        <w:t>：</w:t>
      </w:r>
      <w:r>
        <w:rPr>
          <w:rFonts w:hint="eastAsia" w:ascii="仿宋" w:hAnsi="仿宋" w:eastAsia="仿宋" w:cs="仿宋"/>
          <w:color w:val="000000" w:themeColor="text1"/>
          <w:spacing w:val="-2"/>
          <w:sz w:val="20"/>
          <w:szCs w:val="20"/>
          <w14:textFill>
            <w14:solidFill>
              <w14:schemeClr w14:val="tx1"/>
            </w14:solidFill>
          </w14:textFill>
        </w:rPr>
        <w:t>任何一方由于不可抗力原因不能履行合同时，应在不可抗力事件结</w:t>
      </w:r>
      <w:r>
        <w:rPr>
          <w:rFonts w:hint="eastAsia" w:ascii="仿宋" w:hAnsi="仿宋" w:eastAsia="仿宋" w:cs="仿宋"/>
          <w:color w:val="000000" w:themeColor="text1"/>
          <w:sz w:val="20"/>
          <w:szCs w:val="20"/>
          <w14:textFill>
            <w14:solidFill>
              <w14:schemeClr w14:val="tx1"/>
            </w14:solidFill>
          </w14:textFill>
        </w:rPr>
        <w:t>束后1日内向对方通报，以减轻可能给对方造成的损失，在</w:t>
      </w:r>
      <w:r>
        <w:rPr>
          <w:rFonts w:hint="eastAsia" w:ascii="仿宋" w:hAnsi="仿宋" w:eastAsia="仿宋" w:cs="仿宋"/>
          <w:color w:val="000000" w:themeColor="text1"/>
          <w:spacing w:val="-1"/>
          <w:sz w:val="20"/>
          <w:szCs w:val="20"/>
          <w14:textFill>
            <w14:solidFill>
              <w14:schemeClr w14:val="tx1"/>
            </w14:solidFill>
          </w14:textFill>
        </w:rPr>
        <w:t>取得有关机构的不可抗力证</w:t>
      </w:r>
      <w:r>
        <w:rPr>
          <w:rFonts w:hint="eastAsia" w:ascii="仿宋" w:hAnsi="仿宋" w:eastAsia="仿宋" w:cs="仿宋"/>
          <w:color w:val="000000" w:themeColor="text1"/>
          <w:sz w:val="20"/>
          <w:szCs w:val="20"/>
          <w14:textFill>
            <w14:solidFill>
              <w14:schemeClr w14:val="tx1"/>
            </w14:solidFill>
          </w14:textFill>
        </w:rPr>
        <w:t xml:space="preserve"> </w:t>
      </w:r>
      <w:r>
        <w:rPr>
          <w:rFonts w:hint="eastAsia" w:ascii="仿宋" w:hAnsi="仿宋" w:eastAsia="仿宋" w:cs="仿宋"/>
          <w:color w:val="000000" w:themeColor="text1"/>
          <w:spacing w:val="-2"/>
          <w:sz w:val="20"/>
          <w:szCs w:val="20"/>
          <w14:textFill>
            <w14:solidFill>
              <w14:schemeClr w14:val="tx1"/>
            </w14:solidFill>
          </w14:textFill>
        </w:rPr>
        <w:t>明或双方谅解确认后，允许延期履行或修订合同，并根据情况可部分或全部免于承担违</w:t>
      </w:r>
      <w:r>
        <w:rPr>
          <w:rFonts w:hint="eastAsia" w:ascii="仿宋" w:hAnsi="仿宋" w:eastAsia="仿宋" w:cs="仿宋"/>
          <w:color w:val="000000" w:themeColor="text1"/>
          <w:spacing w:val="16"/>
          <w:sz w:val="20"/>
          <w:szCs w:val="20"/>
          <w14:textFill>
            <w14:solidFill>
              <w14:schemeClr w14:val="tx1"/>
            </w14:solidFill>
          </w14:textFill>
        </w:rPr>
        <w:t xml:space="preserve"> </w:t>
      </w:r>
      <w:r>
        <w:rPr>
          <w:rFonts w:hint="eastAsia" w:ascii="仿宋" w:hAnsi="仿宋" w:eastAsia="仿宋" w:cs="仿宋"/>
          <w:color w:val="000000" w:themeColor="text1"/>
          <w:spacing w:val="-9"/>
          <w:sz w:val="20"/>
          <w:szCs w:val="20"/>
          <w14:textFill>
            <w14:solidFill>
              <w14:schemeClr w14:val="tx1"/>
            </w14:solidFill>
          </w14:textFill>
        </w:rPr>
        <w:t>约责任。</w:t>
      </w:r>
    </w:p>
    <w:p w14:paraId="7407334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1"/>
          <w:sz w:val="20"/>
          <w:szCs w:val="20"/>
          <w14:textFill>
            <w14:solidFill>
              <w14:schemeClr w14:val="tx1"/>
            </w14:solidFill>
          </w14:textFill>
        </w:rPr>
        <w:t>十、税费</w:t>
      </w:r>
      <w:r>
        <w:rPr>
          <w:rFonts w:hint="eastAsia" w:ascii="仿宋" w:hAnsi="仿宋" w:eastAsia="仿宋" w:cs="仿宋"/>
          <w:color w:val="000000" w:themeColor="text1"/>
          <w:spacing w:val="-2"/>
          <w:sz w:val="20"/>
          <w:szCs w:val="20"/>
          <w:lang w:eastAsia="zh-CN"/>
          <w14:textFill>
            <w14:solidFill>
              <w14:schemeClr w14:val="tx1"/>
            </w14:solidFill>
          </w14:textFill>
        </w:rPr>
        <w:t>：</w:t>
      </w:r>
      <w:r>
        <w:rPr>
          <w:rFonts w:hint="eastAsia" w:ascii="仿宋" w:hAnsi="仿宋" w:eastAsia="仿宋" w:cs="仿宋"/>
          <w:color w:val="000000" w:themeColor="text1"/>
          <w:spacing w:val="-1"/>
          <w:sz w:val="20"/>
          <w:szCs w:val="20"/>
          <w14:textFill>
            <w14:solidFill>
              <w14:schemeClr w14:val="tx1"/>
            </w14:solidFill>
          </w14:textFill>
        </w:rPr>
        <w:t>在中国境内、外发生的与本合同执行有</w:t>
      </w:r>
      <w:r>
        <w:rPr>
          <w:rFonts w:hint="eastAsia" w:ascii="仿宋" w:hAnsi="仿宋" w:eastAsia="仿宋" w:cs="仿宋"/>
          <w:color w:val="000000" w:themeColor="text1"/>
          <w:spacing w:val="-2"/>
          <w:sz w:val="20"/>
          <w:szCs w:val="20"/>
          <w14:textFill>
            <w14:solidFill>
              <w14:schemeClr w14:val="tx1"/>
            </w14:solidFill>
          </w14:textFill>
        </w:rPr>
        <w:t>关的一切税费均由乙方负担。</w:t>
      </w:r>
    </w:p>
    <w:p w14:paraId="2A81F88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8"/>
          <w:sz w:val="20"/>
          <w:szCs w:val="20"/>
          <w14:textFill>
            <w14:solidFill>
              <w14:schemeClr w14:val="tx1"/>
            </w14:solidFill>
          </w14:textFill>
        </w:rPr>
        <w:t>十一、其它</w:t>
      </w:r>
    </w:p>
    <w:p w14:paraId="204C33D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2" w:right="179" w:firstLine="486"/>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
          <w:sz w:val="20"/>
          <w:szCs w:val="20"/>
          <w14:textFill>
            <w14:solidFill>
              <w14:schemeClr w14:val="tx1"/>
            </w14:solidFill>
          </w14:textFill>
        </w:rPr>
        <w:t>1、在执行本合同的过程中，所有经双方签署确认的文件（包括会议</w:t>
      </w:r>
      <w:r>
        <w:rPr>
          <w:rFonts w:hint="eastAsia" w:ascii="仿宋" w:hAnsi="仿宋" w:eastAsia="仿宋" w:cs="仿宋"/>
          <w:color w:val="000000" w:themeColor="text1"/>
          <w:spacing w:val="-2"/>
          <w:sz w:val="20"/>
          <w:szCs w:val="20"/>
          <w14:textFill>
            <w14:solidFill>
              <w14:schemeClr w14:val="tx1"/>
            </w14:solidFill>
          </w14:textFill>
        </w:rPr>
        <w:t>纪要、补充协</w:t>
      </w:r>
      <w:r>
        <w:rPr>
          <w:rFonts w:hint="eastAsia" w:ascii="仿宋" w:hAnsi="仿宋" w:eastAsia="仿宋" w:cs="仿宋"/>
          <w:color w:val="000000" w:themeColor="text1"/>
          <w:sz w:val="20"/>
          <w:szCs w:val="20"/>
          <w14:textFill>
            <w14:solidFill>
              <w14:schemeClr w14:val="tx1"/>
            </w14:solidFill>
          </w14:textFill>
        </w:rPr>
        <w:t xml:space="preserve"> </w:t>
      </w:r>
      <w:r>
        <w:rPr>
          <w:rFonts w:hint="eastAsia" w:ascii="仿宋" w:hAnsi="仿宋" w:eastAsia="仿宋" w:cs="仿宋"/>
          <w:color w:val="000000" w:themeColor="text1"/>
          <w:spacing w:val="-3"/>
          <w:sz w:val="20"/>
          <w:szCs w:val="20"/>
          <w14:textFill>
            <w14:solidFill>
              <w14:schemeClr w14:val="tx1"/>
            </w14:solidFill>
          </w14:textFill>
        </w:rPr>
        <w:t>议、往来信函）即成为本合同的有效组成部分。</w:t>
      </w:r>
    </w:p>
    <w:p w14:paraId="2968AE41">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right="220" w:firstLine="473"/>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2、如一方地址、电话、传真号码有变更，应在变更当日内书面通知对方，否则，</w:t>
      </w:r>
      <w:r>
        <w:rPr>
          <w:rFonts w:hint="eastAsia" w:ascii="仿宋" w:hAnsi="仿宋" w:eastAsia="仿宋" w:cs="仿宋"/>
          <w:color w:val="000000" w:themeColor="text1"/>
          <w:spacing w:val="5"/>
          <w:sz w:val="20"/>
          <w:szCs w:val="20"/>
          <w14:textFill>
            <w14:solidFill>
              <w14:schemeClr w14:val="tx1"/>
            </w14:solidFill>
          </w14:textFill>
        </w:rPr>
        <w:t xml:space="preserve"> </w:t>
      </w:r>
      <w:r>
        <w:rPr>
          <w:rFonts w:hint="eastAsia" w:ascii="仿宋" w:hAnsi="仿宋" w:eastAsia="仿宋" w:cs="仿宋"/>
          <w:color w:val="000000" w:themeColor="text1"/>
          <w:spacing w:val="-5"/>
          <w:sz w:val="20"/>
          <w:szCs w:val="20"/>
          <w14:textFill>
            <w14:solidFill>
              <w14:schemeClr w14:val="tx1"/>
            </w14:solidFill>
          </w14:textFill>
        </w:rPr>
        <w:t>应承担相应责任。</w:t>
      </w:r>
    </w:p>
    <w:p w14:paraId="2795007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4"/>
          <w:sz w:val="20"/>
          <w:szCs w:val="20"/>
          <w14:textFill>
            <w14:solidFill>
              <w14:schemeClr w14:val="tx1"/>
            </w14:solidFill>
          </w14:textFill>
        </w:rPr>
        <w:t>3、</w:t>
      </w:r>
      <w:r>
        <w:rPr>
          <w:rFonts w:hint="eastAsia" w:ascii="仿宋" w:hAnsi="仿宋" w:eastAsia="仿宋" w:cs="仿宋"/>
          <w:color w:val="000000" w:themeColor="text1"/>
          <w:spacing w:val="-56"/>
          <w:sz w:val="20"/>
          <w:szCs w:val="20"/>
          <w14:textFill>
            <w14:solidFill>
              <w14:schemeClr w14:val="tx1"/>
            </w14:solidFill>
          </w14:textFill>
        </w:rPr>
        <w:t xml:space="preserve"> </w:t>
      </w:r>
      <w:r>
        <w:rPr>
          <w:rFonts w:hint="eastAsia" w:ascii="仿宋" w:hAnsi="仿宋" w:eastAsia="仿宋" w:cs="仿宋"/>
          <w:color w:val="000000" w:themeColor="text1"/>
          <w:spacing w:val="-4"/>
          <w:sz w:val="20"/>
          <w:szCs w:val="20"/>
          <w14:textFill>
            <w14:solidFill>
              <w14:schemeClr w14:val="tx1"/>
            </w14:solidFill>
          </w14:textFill>
        </w:rPr>
        <w:t>除甲方事先书面同意外，乙方不得部分或全部转让其应履行的合同项</w:t>
      </w:r>
      <w:r>
        <w:rPr>
          <w:rFonts w:hint="eastAsia" w:ascii="仿宋" w:hAnsi="仿宋" w:eastAsia="仿宋" w:cs="仿宋"/>
          <w:color w:val="000000" w:themeColor="text1"/>
          <w:spacing w:val="-5"/>
          <w:sz w:val="20"/>
          <w:szCs w:val="20"/>
          <w14:textFill>
            <w14:solidFill>
              <w14:schemeClr w14:val="tx1"/>
            </w14:solidFill>
          </w14:textFill>
        </w:rPr>
        <w:t>下的义务。</w:t>
      </w:r>
    </w:p>
    <w:p w14:paraId="182EED5F">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b/>
          <w:bCs/>
          <w:color w:val="000000" w:themeColor="text1"/>
          <w:spacing w:val="-4"/>
          <w:sz w:val="20"/>
          <w:szCs w:val="20"/>
          <w14:textFill>
            <w14:solidFill>
              <w14:schemeClr w14:val="tx1"/>
            </w14:solidFill>
          </w14:textFill>
        </w:rPr>
        <w:t>十二、合同生效</w:t>
      </w:r>
    </w:p>
    <w:p w14:paraId="1F812030">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89"/>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3"/>
          <w:sz w:val="20"/>
          <w:szCs w:val="20"/>
          <w14:textFill>
            <w14:solidFill>
              <w14:schemeClr w14:val="tx1"/>
            </w14:solidFill>
          </w14:textFill>
        </w:rPr>
        <w:t>1、本合同经甲乙双方签字盖章后生效。</w:t>
      </w:r>
    </w:p>
    <w:p w14:paraId="6D895CC2">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17"/>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2、本合同一式七份，采购人、供应商各执两份，其余相关部门各一份。</w:t>
      </w:r>
      <w:r>
        <w:rPr>
          <w:rFonts w:hint="eastAsia" w:ascii="仿宋" w:hAnsi="仿宋" w:eastAsia="仿宋" w:cs="仿宋"/>
          <w:color w:val="000000" w:themeColor="text1"/>
          <w:spacing w:val="17"/>
          <w:sz w:val="20"/>
          <w:szCs w:val="20"/>
          <w14:textFill>
            <w14:solidFill>
              <w14:schemeClr w14:val="tx1"/>
            </w14:solidFill>
          </w14:textFill>
        </w:rPr>
        <w:t xml:space="preserve"> </w:t>
      </w:r>
    </w:p>
    <w:p w14:paraId="5E66A2CC">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14:textFill>
            <w14:solidFill>
              <w14:schemeClr w14:val="tx1"/>
            </w14:solidFill>
          </w14:textFill>
        </w:rPr>
      </w:pPr>
    </w:p>
    <w:p w14:paraId="7BCB2D89">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采购人（盖章）：               供应商（盖章）：</w:t>
      </w:r>
    </w:p>
    <w:p w14:paraId="7BA0BCA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法定代表人                     法定代表人：</w:t>
      </w:r>
    </w:p>
    <w:p w14:paraId="1962062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或委托代理人:                  或委托代理人:</w:t>
      </w:r>
    </w:p>
    <w:p w14:paraId="19728AA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开户名：                       开户名：</w:t>
      </w:r>
    </w:p>
    <w:p w14:paraId="79E66D7A">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开户银行：                     开户银行：</w:t>
      </w:r>
    </w:p>
    <w:p w14:paraId="4442BAF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银行账号：                     银行账号：</w:t>
      </w:r>
    </w:p>
    <w:p w14:paraId="5269F385">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val="en-US" w:eastAsia="zh-CN"/>
          <w14:textFill>
            <w14:solidFill>
              <w14:schemeClr w14:val="tx1"/>
            </w14:solidFill>
          </w14:textFill>
        </w:rPr>
      </w:pPr>
    </w:p>
    <w:p w14:paraId="737C28D7">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val="en-US" w:eastAsia="zh-CN"/>
          <w14:textFill>
            <w14:solidFill>
              <w14:schemeClr w14:val="tx1"/>
            </w14:solidFill>
          </w14:textFill>
        </w:rPr>
      </w:pPr>
    </w:p>
    <w:p w14:paraId="41333AAE">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color w:val="000000" w:themeColor="text1"/>
          <w:spacing w:val="-2"/>
          <w:sz w:val="20"/>
          <w:szCs w:val="20"/>
          <w:lang w:eastAsia="zh-CN"/>
          <w14:textFill>
            <w14:solidFill>
              <w14:schemeClr w14:val="tx1"/>
            </w14:solidFill>
          </w14:textFill>
        </w:rPr>
      </w:pPr>
      <w:r>
        <w:rPr>
          <w:rFonts w:hint="eastAsia" w:ascii="仿宋" w:hAnsi="仿宋" w:eastAsia="仿宋" w:cs="仿宋"/>
          <w:color w:val="000000" w:themeColor="text1"/>
          <w:spacing w:val="-2"/>
          <w:sz w:val="20"/>
          <w:szCs w:val="20"/>
          <w:lang w:eastAsia="zh-CN"/>
          <w14:textFill>
            <w14:solidFill>
              <w14:schemeClr w14:val="tx1"/>
            </w14:solidFill>
          </w14:textFill>
        </w:rPr>
        <w:t>日   期 ：                      日   期：</w:t>
      </w:r>
    </w:p>
    <w:p w14:paraId="22DF77AF">
      <w:pPr>
        <w:rPr>
          <w:rFonts w:hint="eastAsia" w:ascii="仿宋" w:hAnsi="仿宋" w:eastAsia="仿宋" w:cs="仿宋"/>
          <w:color w:val="000000" w:themeColor="text1"/>
          <w:spacing w:val="-1"/>
          <w:sz w:val="20"/>
          <w:szCs w:val="20"/>
          <w:lang w:val="en-US" w:eastAsia="zh-CN"/>
          <w14:textFill>
            <w14:solidFill>
              <w14:schemeClr w14:val="tx1"/>
            </w14:solidFill>
          </w14:textFill>
        </w:rPr>
      </w:pPr>
      <w:r>
        <w:rPr>
          <w:rFonts w:hint="eastAsia" w:ascii="仿宋" w:hAnsi="仿宋" w:eastAsia="仿宋" w:cs="仿宋"/>
          <w:color w:val="000000" w:themeColor="text1"/>
          <w:spacing w:val="-1"/>
          <w:sz w:val="20"/>
          <w:szCs w:val="20"/>
          <w:lang w:val="en-US" w:eastAsia="zh-CN"/>
          <w14:textFill>
            <w14:solidFill>
              <w14:schemeClr w14:val="tx1"/>
            </w14:solidFill>
          </w14:textFill>
        </w:rPr>
        <w:br w:type="page"/>
      </w:r>
    </w:p>
    <w:p w14:paraId="21327AD1">
      <w:pPr>
        <w:keepNext w:val="0"/>
        <w:keepLines w:val="0"/>
        <w:pageBreakBefore w:val="0"/>
        <w:kinsoku/>
        <w:wordWrap/>
        <w:overflowPunct/>
        <w:topLinePunct w:val="0"/>
        <w:autoSpaceDE/>
        <w:autoSpaceDN/>
        <w:bidi w:val="0"/>
        <w:adjustRightInd/>
        <w:spacing w:line="640" w:lineRule="exac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附录一：</w:t>
      </w:r>
    </w:p>
    <w:p w14:paraId="6E79AD8F">
      <w:pPr>
        <w:keepNext w:val="0"/>
        <w:keepLines w:val="0"/>
        <w:widowControl/>
        <w:suppressLineNumbers w:val="0"/>
        <w:jc w:val="center"/>
        <w:textAlignment w:val="center"/>
        <w:rPr>
          <w:rFonts w:hint="eastAsia" w:ascii="仿宋" w:hAnsi="仿宋" w:eastAsia="仿宋" w:cs="仿宋"/>
          <w:b/>
          <w:bCs/>
          <w:color w:val="000000" w:themeColor="text1"/>
          <w:sz w:val="20"/>
          <w:szCs w:val="20"/>
          <w:lang w:val="en-US" w:eastAsia="zh-CN"/>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合同包2检测费用表</w:t>
      </w:r>
    </w:p>
    <w:tbl>
      <w:tblPr>
        <w:tblStyle w:val="4"/>
        <w:tblW w:w="83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43"/>
        <w:gridCol w:w="2916"/>
        <w:gridCol w:w="1514"/>
        <w:gridCol w:w="1931"/>
        <w:gridCol w:w="937"/>
      </w:tblGrid>
      <w:tr w14:paraId="3512E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043DC3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序号</w:t>
            </w:r>
          </w:p>
        </w:tc>
        <w:tc>
          <w:tcPr>
            <w:tcW w:w="2916" w:type="dxa"/>
            <w:tcBorders>
              <w:top w:val="single" w:color="000000" w:sz="4" w:space="0"/>
              <w:left w:val="single" w:color="000000" w:sz="4" w:space="0"/>
              <w:bottom w:val="single" w:color="000000" w:sz="4" w:space="0"/>
              <w:right w:val="single" w:color="000000" w:sz="4" w:space="0"/>
            </w:tcBorders>
            <w:noWrap/>
            <w:vAlign w:val="center"/>
          </w:tcPr>
          <w:p w14:paraId="54BEECC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检测项目</w:t>
            </w:r>
          </w:p>
        </w:tc>
        <w:tc>
          <w:tcPr>
            <w:tcW w:w="1514" w:type="dxa"/>
            <w:tcBorders>
              <w:top w:val="single" w:color="000000" w:sz="4" w:space="0"/>
              <w:left w:val="single" w:color="000000" w:sz="4" w:space="0"/>
              <w:bottom w:val="single" w:color="000000" w:sz="4" w:space="0"/>
              <w:right w:val="single" w:color="000000" w:sz="4" w:space="0"/>
            </w:tcBorders>
            <w:noWrap/>
            <w:vAlign w:val="center"/>
          </w:tcPr>
          <w:p w14:paraId="49F13AC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单位</w:t>
            </w:r>
          </w:p>
        </w:tc>
        <w:tc>
          <w:tcPr>
            <w:tcW w:w="1931" w:type="dxa"/>
            <w:tcBorders>
              <w:top w:val="single" w:color="000000" w:sz="4" w:space="0"/>
              <w:left w:val="single" w:color="000000" w:sz="4" w:space="0"/>
              <w:bottom w:val="single" w:color="000000" w:sz="4" w:space="0"/>
              <w:right w:val="nil"/>
            </w:tcBorders>
            <w:noWrap/>
            <w:vAlign w:val="center"/>
          </w:tcPr>
          <w:p w14:paraId="5EB0573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检测费用（元）</w:t>
            </w:r>
          </w:p>
        </w:tc>
        <w:tc>
          <w:tcPr>
            <w:tcW w:w="937" w:type="dxa"/>
            <w:tcBorders>
              <w:top w:val="single" w:color="000000" w:sz="4" w:space="0"/>
              <w:left w:val="single" w:color="000000" w:sz="4" w:space="0"/>
              <w:bottom w:val="single" w:color="000000" w:sz="4" w:space="0"/>
              <w:right w:val="single" w:color="000000" w:sz="4" w:space="0"/>
            </w:tcBorders>
            <w:noWrap/>
            <w:vAlign w:val="center"/>
          </w:tcPr>
          <w:p w14:paraId="2F1DD57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备注</w:t>
            </w:r>
          </w:p>
        </w:tc>
      </w:tr>
      <w:tr w14:paraId="3B6B7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4E98B58C">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一</w:t>
            </w:r>
          </w:p>
        </w:tc>
        <w:tc>
          <w:tcPr>
            <w:tcW w:w="7298" w:type="dxa"/>
            <w:gridSpan w:val="4"/>
            <w:tcBorders>
              <w:top w:val="single" w:color="000000" w:sz="4" w:space="0"/>
              <w:left w:val="nil"/>
              <w:bottom w:val="single" w:color="000000" w:sz="4" w:space="0"/>
              <w:right w:val="single" w:color="000000" w:sz="4" w:space="0"/>
            </w:tcBorders>
            <w:noWrap/>
            <w:vAlign w:val="center"/>
          </w:tcPr>
          <w:p w14:paraId="1C582EE9">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热熔涂料</w:t>
            </w:r>
          </w:p>
        </w:tc>
      </w:tr>
      <w:tr w14:paraId="41F5C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B1A4543">
            <w:pPr>
              <w:keepNext w:val="0"/>
              <w:keepLines w:val="0"/>
              <w:widowControl/>
              <w:suppressLineNumbers w:val="0"/>
              <w:jc w:val="center"/>
              <w:textAlignment w:val="center"/>
              <w:rPr>
                <w:rFonts w:hint="eastAsia" w:ascii="仿宋" w:hAnsi="仿宋" w:eastAsia="仿宋" w:cs="仿宋"/>
                <w:b w:val="0"/>
                <w:bCs w:val="0"/>
                <w:i w:val="0"/>
                <w:iCs w:val="0"/>
                <w:color w:val="000000" w:themeColor="text1"/>
                <w:sz w:val="20"/>
                <w:szCs w:val="20"/>
                <w:u w:val="none"/>
                <w14:textFill>
                  <w14:solidFill>
                    <w14:schemeClr w14:val="tx1"/>
                  </w14:solidFill>
                </w14:textFill>
              </w:rPr>
            </w:pPr>
            <w:r>
              <w:rPr>
                <w:rFonts w:hint="eastAsia" w:ascii="仿宋" w:hAnsi="仿宋" w:eastAsia="仿宋" w:cs="仿宋"/>
                <w:b w:val="0"/>
                <w:bCs w:val="0"/>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78B20A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色度性能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42E7F10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B68868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ACCA4C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EFC4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EBF9075">
            <w:pPr>
              <w:keepNext w:val="0"/>
              <w:keepLines w:val="0"/>
              <w:widowControl/>
              <w:suppressLineNumbers w:val="0"/>
              <w:jc w:val="center"/>
              <w:textAlignment w:val="center"/>
              <w:rPr>
                <w:rFonts w:hint="eastAsia" w:ascii="仿宋" w:hAnsi="仿宋" w:eastAsia="仿宋" w:cs="仿宋"/>
                <w:b w:val="0"/>
                <w:bCs w:val="0"/>
                <w:i w:val="0"/>
                <w:iCs w:val="0"/>
                <w:color w:val="000000" w:themeColor="text1"/>
                <w:sz w:val="20"/>
                <w:szCs w:val="20"/>
                <w:u w:val="none"/>
                <w14:textFill>
                  <w14:solidFill>
                    <w14:schemeClr w14:val="tx1"/>
                  </w14:solidFill>
                </w14:textFill>
              </w:rPr>
            </w:pPr>
            <w:r>
              <w:rPr>
                <w:rFonts w:hint="eastAsia" w:ascii="仿宋" w:hAnsi="仿宋" w:eastAsia="仿宋" w:cs="仿宋"/>
                <w:b w:val="0"/>
                <w:bCs w:val="0"/>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56DBBC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软化点</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607E09E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47CDCA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F401040">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031E4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3B7DA1F">
            <w:pPr>
              <w:keepNext w:val="0"/>
              <w:keepLines w:val="0"/>
              <w:widowControl/>
              <w:suppressLineNumbers w:val="0"/>
              <w:jc w:val="center"/>
              <w:textAlignment w:val="center"/>
              <w:rPr>
                <w:rFonts w:hint="eastAsia" w:ascii="仿宋" w:hAnsi="仿宋" w:eastAsia="仿宋" w:cs="仿宋"/>
                <w:b w:val="0"/>
                <w:bCs w:val="0"/>
                <w:i w:val="0"/>
                <w:iCs w:val="0"/>
                <w:color w:val="000000" w:themeColor="text1"/>
                <w:sz w:val="20"/>
                <w:szCs w:val="20"/>
                <w:u w:val="none"/>
                <w14:textFill>
                  <w14:solidFill>
                    <w14:schemeClr w14:val="tx1"/>
                  </w14:solidFill>
                </w14:textFill>
              </w:rPr>
            </w:pPr>
            <w:r>
              <w:rPr>
                <w:rFonts w:hint="eastAsia" w:ascii="仿宋" w:hAnsi="仿宋" w:eastAsia="仿宋" w:cs="仿宋"/>
                <w:b w:val="0"/>
                <w:bCs w:val="0"/>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113AF50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抗压强度（突起两次）</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C18D5B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7510324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4DFE4A59">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05EA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70503BD">
            <w:pPr>
              <w:keepNext w:val="0"/>
              <w:keepLines w:val="0"/>
              <w:widowControl/>
              <w:suppressLineNumbers w:val="0"/>
              <w:jc w:val="center"/>
              <w:textAlignment w:val="center"/>
              <w:rPr>
                <w:rFonts w:hint="eastAsia" w:ascii="仿宋" w:hAnsi="仿宋" w:eastAsia="仿宋" w:cs="仿宋"/>
                <w:b w:val="0"/>
                <w:bCs w:val="0"/>
                <w:i w:val="0"/>
                <w:iCs w:val="0"/>
                <w:color w:val="000000" w:themeColor="text1"/>
                <w:sz w:val="20"/>
                <w:szCs w:val="20"/>
                <w:u w:val="none"/>
                <w14:textFill>
                  <w14:solidFill>
                    <w14:schemeClr w14:val="tx1"/>
                  </w14:solidFill>
                </w14:textFill>
              </w:rPr>
            </w:pPr>
            <w:r>
              <w:rPr>
                <w:rFonts w:hint="eastAsia" w:ascii="仿宋" w:hAnsi="仿宋" w:eastAsia="仿宋" w:cs="仿宋"/>
                <w:b w:val="0"/>
                <w:bCs w:val="0"/>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5D430C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耐磨性（突起无此项）</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5BF1A69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6981AA3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0F047E4">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065AB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4161A99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1087C13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预混玻璃珠含量(普通型无此项)</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191767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7FAA498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800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7A23873">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E770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4374023">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val="0"/>
                <w:bCs w:val="0"/>
                <w:i w:val="0"/>
                <w:iCs w:val="0"/>
                <w:color w:val="000000" w:themeColor="text1"/>
                <w:kern w:val="0"/>
                <w:sz w:val="20"/>
                <w:szCs w:val="20"/>
                <w:u w:val="none"/>
                <w:lang w:val="en-US" w:eastAsia="zh-CN" w:bidi="ar"/>
                <w14:textFill>
                  <w14:solidFill>
                    <w14:schemeClr w14:val="tx1"/>
                  </w14:solidFill>
                </w14:textFill>
              </w:rPr>
              <w:t>二</w:t>
            </w:r>
          </w:p>
        </w:tc>
        <w:tc>
          <w:tcPr>
            <w:tcW w:w="7298" w:type="dxa"/>
            <w:gridSpan w:val="4"/>
            <w:tcBorders>
              <w:top w:val="single" w:color="000000" w:sz="4" w:space="0"/>
              <w:left w:val="nil"/>
              <w:bottom w:val="single" w:color="000000" w:sz="4" w:space="0"/>
              <w:right w:val="single" w:color="000000" w:sz="4" w:space="0"/>
            </w:tcBorders>
            <w:noWrap/>
            <w:vAlign w:val="center"/>
          </w:tcPr>
          <w:p w14:paraId="7DFABF09">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玻璃珠</w:t>
            </w:r>
          </w:p>
        </w:tc>
      </w:tr>
      <w:tr w14:paraId="671D0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3D9DF8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2193F4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粒径分布</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4D9680C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4A78306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FAD8E3A">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DD37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361DB67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99276A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成圆率（完成粒径分布，折射率试验）</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5A6622E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787D728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F3A5A4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D676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ECE1BF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727B95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密度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6168FDF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F0D7D6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4EC0EFA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52F2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4A2CF8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75CFB5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折射率</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6F4309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968DF6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800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DD4A14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B2EE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3C82A51B">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val="0"/>
                <w:bCs w:val="0"/>
                <w:i w:val="0"/>
                <w:iCs w:val="0"/>
                <w:color w:val="000000" w:themeColor="text1"/>
                <w:kern w:val="0"/>
                <w:sz w:val="20"/>
                <w:szCs w:val="20"/>
                <w:u w:val="none"/>
                <w:lang w:val="en-US" w:eastAsia="zh-CN" w:bidi="ar"/>
                <w14:textFill>
                  <w14:solidFill>
                    <w14:schemeClr w14:val="tx1"/>
                  </w14:solidFill>
                </w14:textFill>
              </w:rPr>
              <w:t>三</w:t>
            </w:r>
          </w:p>
        </w:tc>
        <w:tc>
          <w:tcPr>
            <w:tcW w:w="7298" w:type="dxa"/>
            <w:gridSpan w:val="4"/>
            <w:tcBorders>
              <w:top w:val="single" w:color="000000" w:sz="4" w:space="0"/>
              <w:left w:val="nil"/>
              <w:bottom w:val="single" w:color="000000" w:sz="4" w:space="0"/>
              <w:right w:val="single" w:color="000000" w:sz="4" w:space="0"/>
            </w:tcBorders>
            <w:noWrap/>
            <w:vAlign w:val="center"/>
          </w:tcPr>
          <w:p w14:paraId="624D586C">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反光膜</w:t>
            </w:r>
          </w:p>
        </w:tc>
      </w:tr>
      <w:tr w14:paraId="6CD9B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2998608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CB7937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色度性能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A49A74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DB57DA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7F3817D">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1DFF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5005D2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DAD350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光度性能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A156B9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68E14C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0B585AD8">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FFAE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7228E7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BA042D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附着性能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3C43DE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FEF9EB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C6585A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6927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7894B9C">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四</w:t>
            </w:r>
          </w:p>
        </w:tc>
        <w:tc>
          <w:tcPr>
            <w:tcW w:w="7298" w:type="dxa"/>
            <w:gridSpan w:val="4"/>
            <w:tcBorders>
              <w:top w:val="single" w:color="000000" w:sz="4" w:space="0"/>
              <w:left w:val="nil"/>
              <w:bottom w:val="single" w:color="000000" w:sz="4" w:space="0"/>
              <w:right w:val="single" w:color="000000" w:sz="4" w:space="0"/>
            </w:tcBorders>
            <w:noWrap/>
            <w:vAlign w:val="center"/>
          </w:tcPr>
          <w:p w14:paraId="5386CF94">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铝板</w:t>
            </w:r>
          </w:p>
        </w:tc>
      </w:tr>
      <w:tr w14:paraId="133C8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73F273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7FBB78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材料力学性能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5D672F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62AC15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2DD172C3">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C1D5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481E341">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五</w:t>
            </w:r>
          </w:p>
        </w:tc>
        <w:tc>
          <w:tcPr>
            <w:tcW w:w="6361" w:type="dxa"/>
            <w:gridSpan w:val="3"/>
            <w:tcBorders>
              <w:top w:val="single" w:color="000000" w:sz="4" w:space="0"/>
              <w:left w:val="single" w:color="000000" w:sz="4" w:space="0"/>
              <w:bottom w:val="single" w:color="000000" w:sz="4" w:space="0"/>
              <w:right w:val="single" w:color="000000" w:sz="4" w:space="0"/>
            </w:tcBorders>
            <w:noWrap/>
            <w:vAlign w:val="center"/>
          </w:tcPr>
          <w:p w14:paraId="612FB246">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 xml:space="preserve">         护栏（镀锌聚酯）</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0C69DDD">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1A66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D38B88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56938E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97CB71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7ACBA98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2B6705E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13D7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5C7F50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E48D93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材料力学性能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2D77D80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81BC56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40F5CD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1C72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AE5518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7262EA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6606D5A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E5AC0B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DE66330">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29F0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2606CF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E5F810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防腐层附着性能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1A53A6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7C808A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8C98F4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D438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F584683">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六</w:t>
            </w:r>
          </w:p>
        </w:tc>
        <w:tc>
          <w:tcPr>
            <w:tcW w:w="7298" w:type="dxa"/>
            <w:gridSpan w:val="4"/>
            <w:tcBorders>
              <w:top w:val="single" w:color="000000" w:sz="4" w:space="0"/>
              <w:left w:val="nil"/>
              <w:bottom w:val="single" w:color="000000" w:sz="4" w:space="0"/>
              <w:right w:val="single" w:color="000000" w:sz="4" w:space="0"/>
            </w:tcBorders>
            <w:noWrap w:val="0"/>
            <w:vAlign w:val="center"/>
          </w:tcPr>
          <w:p w14:paraId="6B980E27">
            <w:pPr>
              <w:keepNext w:val="0"/>
              <w:keepLines w:val="0"/>
              <w:widowControl/>
              <w:suppressLineNumbers w:val="0"/>
              <w:ind w:firstLine="2008" w:firstLineChars="1000"/>
              <w:jc w:val="both"/>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拼接和连接螺栓</w:t>
            </w:r>
          </w:p>
        </w:tc>
      </w:tr>
      <w:tr w14:paraId="6BCE7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2EA2A9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CF19D6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2DDD5B9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1137B1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D64E9B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3611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233218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75952B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整体抗拉荷载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C628ED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66CAB53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00B940CD">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3240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B12F1B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B68D15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180D99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DE8900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C69B99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077C5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892EF4F">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七</w:t>
            </w:r>
          </w:p>
        </w:tc>
        <w:tc>
          <w:tcPr>
            <w:tcW w:w="7298" w:type="dxa"/>
            <w:gridSpan w:val="4"/>
            <w:tcBorders>
              <w:top w:val="single" w:color="000000" w:sz="4" w:space="0"/>
              <w:left w:val="nil"/>
              <w:bottom w:val="single" w:color="000000" w:sz="4" w:space="0"/>
              <w:right w:val="single" w:color="000000" w:sz="4" w:space="0"/>
            </w:tcBorders>
            <w:noWrap w:val="0"/>
            <w:vAlign w:val="center"/>
          </w:tcPr>
          <w:p w14:paraId="4C961ABE">
            <w:pPr>
              <w:keepNext w:val="0"/>
              <w:keepLines w:val="0"/>
              <w:widowControl/>
              <w:suppressLineNumbers w:val="0"/>
              <w:ind w:firstLine="2610" w:firstLineChars="1300"/>
              <w:jc w:val="both"/>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防阻块</w:t>
            </w:r>
          </w:p>
        </w:tc>
      </w:tr>
      <w:tr w14:paraId="112A9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DE45D7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319331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447B1C3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588416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E4C5050">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4BCF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8EFFB4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EC7C92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材料力学性能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311911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6FBEB5E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05B9ABD">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242F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1B33F4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1AA61F2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561D789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75BB8B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62C23C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E4ED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4212E9D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5F5209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防腐层附着性能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2B9D60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EACE20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0BCB8A5">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4B65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CC5319F">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八</w:t>
            </w:r>
          </w:p>
        </w:tc>
        <w:tc>
          <w:tcPr>
            <w:tcW w:w="7298" w:type="dxa"/>
            <w:gridSpan w:val="4"/>
            <w:tcBorders>
              <w:top w:val="single" w:color="000000" w:sz="4" w:space="0"/>
              <w:left w:val="nil"/>
              <w:bottom w:val="single" w:color="000000" w:sz="4" w:space="0"/>
              <w:right w:val="single" w:color="000000" w:sz="4" w:space="0"/>
            </w:tcBorders>
            <w:noWrap w:val="0"/>
            <w:vAlign w:val="center"/>
          </w:tcPr>
          <w:p w14:paraId="2F35B8F6">
            <w:pPr>
              <w:keepNext w:val="0"/>
              <w:keepLines w:val="0"/>
              <w:widowControl/>
              <w:suppressLineNumbers w:val="0"/>
              <w:ind w:firstLine="2610" w:firstLineChars="1300"/>
              <w:jc w:val="both"/>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立柱</w:t>
            </w:r>
          </w:p>
        </w:tc>
      </w:tr>
      <w:tr w14:paraId="7DE86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6A2934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7EBFDF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8E2E47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46AFBDE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26DC1D3B">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23F9D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98722D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1DBB322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材料力学性能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AF7B63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5938EF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DC25521">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8D24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01BAAC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436B624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95B0CF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9E8F03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9DC3EB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5245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2EABBC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4B60ECC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防腐层附着性能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1C2808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95DDE3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41A11D3D">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43A4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27DE471">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九</w:t>
            </w:r>
          </w:p>
        </w:tc>
        <w:tc>
          <w:tcPr>
            <w:tcW w:w="7298" w:type="dxa"/>
            <w:gridSpan w:val="4"/>
            <w:tcBorders>
              <w:top w:val="single" w:color="000000" w:sz="4" w:space="0"/>
              <w:left w:val="nil"/>
              <w:bottom w:val="single" w:color="000000" w:sz="4" w:space="0"/>
              <w:right w:val="single" w:color="000000" w:sz="4" w:space="0"/>
            </w:tcBorders>
            <w:noWrap w:val="0"/>
            <w:vAlign w:val="center"/>
          </w:tcPr>
          <w:p w14:paraId="1BAB7C47">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防眩板（塑料）</w:t>
            </w:r>
          </w:p>
        </w:tc>
      </w:tr>
      <w:tr w14:paraId="4F686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9DC4B9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D39CD5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结构尺寸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E1ABD4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FFBF85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77D06A4">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4063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28FD899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D2132E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抗风荷载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7E9314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6C806D7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0A44A46C">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9E99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068F77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DBE132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抗变形量</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F9ADF4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22F6CA3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D699C5C">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2ECF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2C674B2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09E2A0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抗冲击性能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F5E6A1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7EAD92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185089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27EA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F9F771F">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十</w:t>
            </w:r>
          </w:p>
        </w:tc>
        <w:tc>
          <w:tcPr>
            <w:tcW w:w="7298" w:type="dxa"/>
            <w:gridSpan w:val="4"/>
            <w:tcBorders>
              <w:top w:val="single" w:color="000000" w:sz="4" w:space="0"/>
              <w:left w:val="nil"/>
              <w:bottom w:val="single" w:color="000000" w:sz="4" w:space="0"/>
              <w:right w:val="single" w:color="000000" w:sz="4" w:space="0"/>
            </w:tcBorders>
            <w:noWrap w:val="0"/>
            <w:vAlign w:val="center"/>
          </w:tcPr>
          <w:p w14:paraId="15EFBEBE">
            <w:pPr>
              <w:keepNext w:val="0"/>
              <w:keepLines w:val="0"/>
              <w:widowControl/>
              <w:suppressLineNumbers w:val="0"/>
              <w:ind w:firstLine="2409" w:firstLineChars="1200"/>
              <w:jc w:val="both"/>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轮廓标</w:t>
            </w:r>
          </w:p>
        </w:tc>
      </w:tr>
      <w:tr w14:paraId="60576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4C368F8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4BBBF80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E0A433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6D3734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2ACC921B">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B92F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F9F0BA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591F0C3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色度性能（单色）</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513746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6C952C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81D2CAA">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08A8B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A44AB9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D125EF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光度性能（单色）</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6466C8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3D0108F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EF22041">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5178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0613C8D3">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十一</w:t>
            </w:r>
          </w:p>
        </w:tc>
        <w:tc>
          <w:tcPr>
            <w:tcW w:w="7298" w:type="dxa"/>
            <w:gridSpan w:val="4"/>
            <w:tcBorders>
              <w:top w:val="single" w:color="000000" w:sz="4" w:space="0"/>
              <w:left w:val="nil"/>
              <w:bottom w:val="single" w:color="000000" w:sz="4" w:space="0"/>
              <w:right w:val="single" w:color="000000" w:sz="4" w:space="0"/>
            </w:tcBorders>
            <w:noWrap w:val="0"/>
            <w:vAlign w:val="center"/>
          </w:tcPr>
          <w:p w14:paraId="01166D0D">
            <w:pPr>
              <w:keepNext w:val="0"/>
              <w:keepLines w:val="0"/>
              <w:widowControl/>
              <w:suppressLineNumbers w:val="0"/>
              <w:ind w:firstLine="2409" w:firstLineChars="1200"/>
              <w:jc w:val="both"/>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镀锌钢管</w:t>
            </w:r>
          </w:p>
        </w:tc>
      </w:tr>
      <w:tr w14:paraId="79354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7F4C07B">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5A8A97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5CD665B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B4742E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6052E20">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A6D0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F5B0925">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C4EA45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材料力学性能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B261B3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587305E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258138A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7981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6818439B">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AB1144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6C72813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1347629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DDCB9AC">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19A7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7CB833E8">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E198BA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防腐层附着性能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47A6B4F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项</w:t>
            </w:r>
          </w:p>
        </w:tc>
        <w:tc>
          <w:tcPr>
            <w:tcW w:w="1931" w:type="dxa"/>
            <w:tcBorders>
              <w:top w:val="single" w:color="000000" w:sz="4" w:space="0"/>
              <w:left w:val="single" w:color="000000" w:sz="4" w:space="0"/>
              <w:bottom w:val="single" w:color="000000" w:sz="4" w:space="0"/>
              <w:right w:val="nil"/>
            </w:tcBorders>
            <w:noWrap/>
            <w:vAlign w:val="center"/>
          </w:tcPr>
          <w:p w14:paraId="0078B0E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BEAF7A5">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EC1D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3D2A7B46">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十二</w:t>
            </w:r>
          </w:p>
        </w:tc>
        <w:tc>
          <w:tcPr>
            <w:tcW w:w="7298" w:type="dxa"/>
            <w:gridSpan w:val="4"/>
            <w:tcBorders>
              <w:top w:val="single" w:color="000000" w:sz="4" w:space="0"/>
              <w:left w:val="single" w:color="000000" w:sz="4" w:space="0"/>
              <w:bottom w:val="single" w:color="000000" w:sz="4" w:space="0"/>
              <w:right w:val="single" w:color="000000" w:sz="4" w:space="0"/>
            </w:tcBorders>
            <w:noWrap/>
            <w:vAlign w:val="center"/>
          </w:tcPr>
          <w:p w14:paraId="6FC2E18B">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结构混凝土</w:t>
            </w:r>
          </w:p>
        </w:tc>
      </w:tr>
      <w:tr w14:paraId="516BD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53B9D40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52D2262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混凝土强度</w:t>
            </w: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14:paraId="000E013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测区</w:t>
            </w:r>
          </w:p>
        </w:tc>
        <w:tc>
          <w:tcPr>
            <w:tcW w:w="1931" w:type="dxa"/>
            <w:tcBorders>
              <w:top w:val="single" w:color="000000" w:sz="4" w:space="0"/>
              <w:left w:val="single" w:color="000000" w:sz="4" w:space="0"/>
              <w:bottom w:val="single" w:color="000000" w:sz="4" w:space="0"/>
              <w:right w:val="nil"/>
            </w:tcBorders>
            <w:noWrap w:val="0"/>
            <w:vAlign w:val="center"/>
          </w:tcPr>
          <w:p w14:paraId="7CF2A56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6FC85CC">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EEDD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1BDC742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4AF1B96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碳化深度</w:t>
            </w: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E7F32A">
            <w:pPr>
              <w:jc w:val="center"/>
              <w:rPr>
                <w:rFonts w:hint="eastAsia" w:ascii="仿宋" w:hAnsi="仿宋" w:eastAsia="仿宋" w:cs="仿宋"/>
                <w:i w:val="0"/>
                <w:iCs w:val="0"/>
                <w:color w:val="000000" w:themeColor="text1"/>
                <w:sz w:val="20"/>
                <w:szCs w:val="20"/>
                <w:u w:val="none"/>
                <w14:textFill>
                  <w14:solidFill>
                    <w14:schemeClr w14:val="tx1"/>
                  </w14:solidFill>
                </w14:textFill>
              </w:rPr>
            </w:pPr>
          </w:p>
        </w:tc>
        <w:tc>
          <w:tcPr>
            <w:tcW w:w="1931" w:type="dxa"/>
            <w:tcBorders>
              <w:top w:val="single" w:color="000000" w:sz="4" w:space="0"/>
              <w:left w:val="single" w:color="000000" w:sz="4" w:space="0"/>
              <w:bottom w:val="single" w:color="000000" w:sz="4" w:space="0"/>
              <w:right w:val="nil"/>
            </w:tcBorders>
            <w:noWrap w:val="0"/>
            <w:vAlign w:val="center"/>
          </w:tcPr>
          <w:p w14:paraId="6BC8E90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68C0F8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7A1C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3104F97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5758DB0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钢筋位置及保护层厚度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5A3426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点</w:t>
            </w:r>
          </w:p>
        </w:tc>
        <w:tc>
          <w:tcPr>
            <w:tcW w:w="1931" w:type="dxa"/>
            <w:tcBorders>
              <w:top w:val="single" w:color="000000" w:sz="4" w:space="0"/>
              <w:left w:val="single" w:color="000000" w:sz="4" w:space="0"/>
              <w:bottom w:val="single" w:color="000000" w:sz="4" w:space="0"/>
              <w:right w:val="nil"/>
            </w:tcBorders>
            <w:noWrap w:val="0"/>
            <w:vAlign w:val="center"/>
          </w:tcPr>
          <w:p w14:paraId="5E8B0C7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BF5C586">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8F04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nil"/>
              <w:right w:val="single" w:color="000000" w:sz="4" w:space="0"/>
            </w:tcBorders>
            <w:noWrap/>
            <w:vAlign w:val="center"/>
          </w:tcPr>
          <w:p w14:paraId="3003B3E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nil"/>
              <w:right w:val="single" w:color="000000" w:sz="4" w:space="0"/>
            </w:tcBorders>
            <w:noWrap w:val="0"/>
            <w:vAlign w:val="center"/>
          </w:tcPr>
          <w:p w14:paraId="7A269F3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表观及内部缺陷</w:t>
            </w:r>
          </w:p>
        </w:tc>
        <w:tc>
          <w:tcPr>
            <w:tcW w:w="1514" w:type="dxa"/>
            <w:tcBorders>
              <w:top w:val="single" w:color="000000" w:sz="4" w:space="0"/>
              <w:left w:val="single" w:color="000000" w:sz="4" w:space="0"/>
              <w:bottom w:val="nil"/>
              <w:right w:val="single" w:color="000000" w:sz="4" w:space="0"/>
            </w:tcBorders>
            <w:noWrap w:val="0"/>
            <w:vAlign w:val="center"/>
          </w:tcPr>
          <w:p w14:paraId="3D72BB4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平方米</w:t>
            </w:r>
          </w:p>
        </w:tc>
        <w:tc>
          <w:tcPr>
            <w:tcW w:w="1931" w:type="dxa"/>
            <w:tcBorders>
              <w:top w:val="single" w:color="000000" w:sz="4" w:space="0"/>
              <w:left w:val="single" w:color="000000" w:sz="4" w:space="0"/>
              <w:bottom w:val="nil"/>
              <w:right w:val="nil"/>
            </w:tcBorders>
            <w:noWrap w:val="0"/>
            <w:vAlign w:val="center"/>
          </w:tcPr>
          <w:p w14:paraId="6C00E25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500</w:t>
            </w:r>
          </w:p>
        </w:tc>
        <w:tc>
          <w:tcPr>
            <w:tcW w:w="937" w:type="dxa"/>
            <w:tcBorders>
              <w:top w:val="single" w:color="000000" w:sz="4" w:space="0"/>
              <w:left w:val="single" w:color="000000" w:sz="4" w:space="0"/>
              <w:bottom w:val="nil"/>
              <w:right w:val="single" w:color="000000" w:sz="4" w:space="0"/>
            </w:tcBorders>
            <w:noWrap/>
            <w:vAlign w:val="bottom"/>
          </w:tcPr>
          <w:p w14:paraId="052A7D3D">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0AF21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ign w:val="center"/>
          </w:tcPr>
          <w:p w14:paraId="3CC798C1">
            <w:pPr>
              <w:keepNext w:val="0"/>
              <w:keepLines w:val="0"/>
              <w:widowControl/>
              <w:suppressLineNumbers w:val="0"/>
              <w:jc w:val="center"/>
              <w:textAlignment w:val="center"/>
              <w:rPr>
                <w:rFonts w:hint="eastAsia" w:ascii="仿宋" w:hAnsi="仿宋" w:eastAsia="仿宋" w:cs="仿宋"/>
                <w:b/>
                <w:bCs/>
                <w:i w:val="0"/>
                <w:iCs w:val="0"/>
                <w:color w:val="000000" w:themeColor="text1"/>
                <w:sz w:val="20"/>
                <w:szCs w:val="20"/>
                <w:u w:val="none"/>
                <w:lang w:val="en-US"/>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十三</w:t>
            </w:r>
          </w:p>
        </w:tc>
        <w:tc>
          <w:tcPr>
            <w:tcW w:w="7298" w:type="dxa"/>
            <w:gridSpan w:val="4"/>
            <w:tcBorders>
              <w:top w:val="single" w:color="000000" w:sz="4" w:space="0"/>
              <w:left w:val="single" w:color="000000" w:sz="4" w:space="0"/>
              <w:bottom w:val="single" w:color="000000" w:sz="4" w:space="0"/>
              <w:right w:val="single" w:color="000000" w:sz="4" w:space="0"/>
            </w:tcBorders>
            <w:noWrap/>
            <w:vAlign w:val="center"/>
          </w:tcPr>
          <w:p w14:paraId="3275CCD6">
            <w:pPr>
              <w:keepNext w:val="0"/>
              <w:keepLines w:val="0"/>
              <w:widowControl/>
              <w:suppressLineNumbers w:val="0"/>
              <w:ind w:firstLine="1807" w:firstLineChars="900"/>
              <w:jc w:val="both"/>
              <w:textAlignment w:val="cente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交通安全设施安装施工工程</w:t>
            </w:r>
          </w:p>
        </w:tc>
      </w:tr>
      <w:tr w14:paraId="72AF4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nil"/>
              <w:left w:val="single" w:color="000000" w:sz="4" w:space="0"/>
              <w:bottom w:val="single" w:color="000000" w:sz="4" w:space="0"/>
              <w:right w:val="single" w:color="000000" w:sz="4" w:space="0"/>
            </w:tcBorders>
            <w:noWrap w:val="0"/>
            <w:vAlign w:val="center"/>
          </w:tcPr>
          <w:p w14:paraId="41F972B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w:t>
            </w:r>
          </w:p>
        </w:tc>
        <w:tc>
          <w:tcPr>
            <w:tcW w:w="2916" w:type="dxa"/>
            <w:tcBorders>
              <w:top w:val="nil"/>
              <w:left w:val="single" w:color="000000" w:sz="4" w:space="0"/>
              <w:bottom w:val="single" w:color="000000" w:sz="4" w:space="0"/>
              <w:right w:val="single" w:color="000000" w:sz="4" w:space="0"/>
            </w:tcBorders>
            <w:noWrap w:val="0"/>
            <w:vAlign w:val="center"/>
          </w:tcPr>
          <w:p w14:paraId="4798EE61">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外形尺寸</w:t>
            </w:r>
          </w:p>
        </w:tc>
        <w:tc>
          <w:tcPr>
            <w:tcW w:w="1514" w:type="dxa"/>
            <w:tcBorders>
              <w:top w:val="nil"/>
              <w:left w:val="single" w:color="000000" w:sz="4" w:space="0"/>
              <w:bottom w:val="single" w:color="000000" w:sz="4" w:space="0"/>
              <w:right w:val="single" w:color="000000" w:sz="4" w:space="0"/>
            </w:tcBorders>
            <w:noWrap w:val="0"/>
            <w:vAlign w:val="center"/>
          </w:tcPr>
          <w:p w14:paraId="2F0AF8B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nil"/>
              <w:left w:val="single" w:color="000000" w:sz="4" w:space="0"/>
              <w:bottom w:val="single" w:color="000000" w:sz="4" w:space="0"/>
              <w:right w:val="nil"/>
            </w:tcBorders>
            <w:noWrap w:val="0"/>
            <w:vAlign w:val="center"/>
          </w:tcPr>
          <w:p w14:paraId="0886EB7A">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w:t>
            </w:r>
          </w:p>
        </w:tc>
        <w:tc>
          <w:tcPr>
            <w:tcW w:w="937" w:type="dxa"/>
            <w:tcBorders>
              <w:top w:val="nil"/>
              <w:left w:val="single" w:color="000000" w:sz="4" w:space="0"/>
              <w:bottom w:val="single" w:color="000000" w:sz="4" w:space="0"/>
              <w:right w:val="single" w:color="000000" w:sz="4" w:space="0"/>
            </w:tcBorders>
            <w:noWrap/>
            <w:vAlign w:val="bottom"/>
          </w:tcPr>
          <w:p w14:paraId="626D3F8A">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218B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4E7F463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7F7B41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安装高度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AA1C7C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4793643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2E139353">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125E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AEA25B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6BE9A4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安装距离</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6BAB55E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6F07EAC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7D1BE41">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2065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EFAF91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BF50C1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安装角度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D33A41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098C9B9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0880FD9">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0B301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5C55B4F0">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0C555E2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立柱竖直度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E70236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35D3E1B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0B29D8C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2130E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5F6F437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6</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7E393AE5">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立柱埋深</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48D148F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2BF9361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0EF8E28F">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C678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7D0EF187">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7</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1AE937A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标线抗滑</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C11120E">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7FB2378F">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6B1CB0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6B76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33DC4F2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8</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E0B0A5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防腐层厚度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E49E6FC">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3E377D76">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5E48EA91">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1556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7B9DE904">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9</w:t>
            </w: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EADE6C9">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标志光度性能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EDBBB1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52BB8E13">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8936A8A">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63213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auto" w:sz="4" w:space="0"/>
            </w:tcBorders>
            <w:noWrap w:val="0"/>
            <w:vAlign w:val="center"/>
          </w:tcPr>
          <w:p w14:paraId="3784883B">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w:t>
            </w:r>
          </w:p>
        </w:tc>
        <w:tc>
          <w:tcPr>
            <w:tcW w:w="2916" w:type="dxa"/>
            <w:tcBorders>
              <w:top w:val="single" w:color="000000" w:sz="4" w:space="0"/>
              <w:left w:val="single" w:color="auto" w:sz="4" w:space="0"/>
              <w:bottom w:val="single" w:color="000000" w:sz="4" w:space="0"/>
              <w:right w:val="single" w:color="000000" w:sz="4" w:space="0"/>
            </w:tcBorders>
            <w:noWrap w:val="0"/>
            <w:vAlign w:val="center"/>
          </w:tcPr>
          <w:p w14:paraId="575B8898">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标线光度性能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0C52F40D">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处</w:t>
            </w:r>
          </w:p>
        </w:tc>
        <w:tc>
          <w:tcPr>
            <w:tcW w:w="1931" w:type="dxa"/>
            <w:tcBorders>
              <w:top w:val="single" w:color="000000" w:sz="4" w:space="0"/>
              <w:left w:val="single" w:color="000000" w:sz="4" w:space="0"/>
              <w:bottom w:val="single" w:color="000000" w:sz="4" w:space="0"/>
              <w:right w:val="nil"/>
            </w:tcBorders>
            <w:noWrap w:val="0"/>
            <w:vAlign w:val="center"/>
          </w:tcPr>
          <w:p w14:paraId="51133322">
            <w:pPr>
              <w:keepNext w:val="0"/>
              <w:keepLines w:val="0"/>
              <w:widowControl/>
              <w:suppressLineNumbers w:val="0"/>
              <w:jc w:val="center"/>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0D7CBA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2E98F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auto" w:sz="4" w:space="0"/>
            </w:tcBorders>
            <w:noWrap w:val="0"/>
            <w:vAlign w:val="center"/>
          </w:tcPr>
          <w:p w14:paraId="374C1CA0">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十四</w:t>
            </w:r>
          </w:p>
        </w:tc>
        <w:tc>
          <w:tcPr>
            <w:tcW w:w="7298" w:type="dxa"/>
            <w:gridSpan w:val="4"/>
            <w:tcBorders>
              <w:top w:val="single" w:color="000000" w:sz="4" w:space="0"/>
              <w:left w:val="single" w:color="auto" w:sz="4" w:space="0"/>
              <w:bottom w:val="single" w:color="000000" w:sz="4" w:space="0"/>
              <w:right w:val="single" w:color="000000" w:sz="4" w:space="0"/>
            </w:tcBorders>
            <w:noWrap w:val="0"/>
            <w:vAlign w:val="center"/>
          </w:tcPr>
          <w:p w14:paraId="0AB7AFD4">
            <w:pPr>
              <w:ind w:firstLine="2811" w:firstLineChars="1400"/>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钢绞线</w:t>
            </w:r>
          </w:p>
        </w:tc>
      </w:tr>
      <w:tr w14:paraId="5F85A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auto" w:sz="4" w:space="0"/>
              <w:right w:val="single" w:color="000000" w:sz="4" w:space="0"/>
            </w:tcBorders>
            <w:noWrap w:val="0"/>
            <w:vAlign w:val="center"/>
          </w:tcPr>
          <w:p w14:paraId="18C77679">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2916" w:type="dxa"/>
            <w:tcBorders>
              <w:top w:val="single" w:color="000000" w:sz="4" w:space="0"/>
              <w:left w:val="single" w:color="000000" w:sz="4" w:space="0"/>
              <w:bottom w:val="single" w:color="auto" w:sz="4" w:space="0"/>
              <w:right w:val="single" w:color="000000" w:sz="4" w:space="0"/>
            </w:tcBorders>
            <w:noWrap w:val="0"/>
            <w:vAlign w:val="center"/>
          </w:tcPr>
          <w:p w14:paraId="11A2B181">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抗拉强度，弹性模量，最大力总伸长率，0.2%屈服力，最大力，松弛率，Fp0.2/Fm</w:t>
            </w:r>
          </w:p>
        </w:tc>
        <w:tc>
          <w:tcPr>
            <w:tcW w:w="1514" w:type="dxa"/>
            <w:tcBorders>
              <w:top w:val="single" w:color="000000" w:sz="4" w:space="0"/>
              <w:left w:val="single" w:color="000000" w:sz="4" w:space="0"/>
              <w:bottom w:val="single" w:color="auto" w:sz="4" w:space="0"/>
              <w:right w:val="single" w:color="000000" w:sz="4" w:space="0"/>
            </w:tcBorders>
            <w:noWrap w:val="0"/>
            <w:vAlign w:val="center"/>
          </w:tcPr>
          <w:p w14:paraId="1F130E16">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组</w:t>
            </w:r>
          </w:p>
        </w:tc>
        <w:tc>
          <w:tcPr>
            <w:tcW w:w="1931" w:type="dxa"/>
            <w:tcBorders>
              <w:top w:val="single" w:color="000000" w:sz="4" w:space="0"/>
              <w:left w:val="single" w:color="000000" w:sz="4" w:space="0"/>
              <w:bottom w:val="single" w:color="auto" w:sz="4" w:space="0"/>
              <w:right w:val="nil"/>
            </w:tcBorders>
            <w:noWrap w:val="0"/>
            <w:vAlign w:val="center"/>
          </w:tcPr>
          <w:p w14:paraId="5B38811B">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4100</w:t>
            </w:r>
          </w:p>
        </w:tc>
        <w:tc>
          <w:tcPr>
            <w:tcW w:w="937" w:type="dxa"/>
            <w:tcBorders>
              <w:top w:val="single" w:color="000000" w:sz="4" w:space="0"/>
              <w:left w:val="single" w:color="000000" w:sz="4" w:space="0"/>
              <w:bottom w:val="single" w:color="auto" w:sz="4" w:space="0"/>
              <w:right w:val="single" w:color="000000" w:sz="4" w:space="0"/>
            </w:tcBorders>
            <w:noWrap/>
            <w:vAlign w:val="bottom"/>
          </w:tcPr>
          <w:p w14:paraId="6AB4DFA1">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552AC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auto" w:sz="4" w:space="0"/>
              <w:right w:val="single" w:color="000000" w:sz="4" w:space="0"/>
            </w:tcBorders>
            <w:noWrap w:val="0"/>
            <w:vAlign w:val="center"/>
          </w:tcPr>
          <w:p w14:paraId="2030A0AF">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十五</w:t>
            </w:r>
          </w:p>
        </w:tc>
        <w:tc>
          <w:tcPr>
            <w:tcW w:w="7298" w:type="dxa"/>
            <w:gridSpan w:val="4"/>
            <w:tcBorders>
              <w:top w:val="single" w:color="000000" w:sz="4" w:space="0"/>
              <w:left w:val="single" w:color="000000" w:sz="4" w:space="0"/>
              <w:bottom w:val="single" w:color="auto" w:sz="4" w:space="0"/>
              <w:right w:val="single" w:color="000000" w:sz="4" w:space="0"/>
            </w:tcBorders>
            <w:noWrap w:val="0"/>
            <w:vAlign w:val="center"/>
          </w:tcPr>
          <w:p w14:paraId="7B294436">
            <w:pPr>
              <w:ind w:firstLine="2811" w:firstLineChars="1400"/>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锚具</w:t>
            </w:r>
          </w:p>
        </w:tc>
      </w:tr>
      <w:tr w14:paraId="1CCD4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7B36591D">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68F172F9">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 xml:space="preserve">静载锚固性能（锚具效率系数、总伸长率），锚板硬度，夹片硬度 </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7155DEE4">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组</w:t>
            </w:r>
          </w:p>
        </w:tc>
        <w:tc>
          <w:tcPr>
            <w:tcW w:w="1931" w:type="dxa"/>
            <w:tcBorders>
              <w:top w:val="single" w:color="000000" w:sz="4" w:space="0"/>
              <w:left w:val="single" w:color="000000" w:sz="4" w:space="0"/>
              <w:bottom w:val="single" w:color="000000" w:sz="4" w:space="0"/>
              <w:right w:val="nil"/>
            </w:tcBorders>
            <w:noWrap w:val="0"/>
            <w:vAlign w:val="center"/>
          </w:tcPr>
          <w:p w14:paraId="39ED421F">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8500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633657DB">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1272C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087DCBAD">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十六</w:t>
            </w:r>
          </w:p>
        </w:tc>
        <w:tc>
          <w:tcPr>
            <w:tcW w:w="7298" w:type="dxa"/>
            <w:gridSpan w:val="4"/>
            <w:tcBorders>
              <w:top w:val="single" w:color="000000" w:sz="4" w:space="0"/>
              <w:left w:val="single" w:color="000000" w:sz="4" w:space="0"/>
              <w:bottom w:val="single" w:color="000000" w:sz="4" w:space="0"/>
              <w:right w:val="single" w:color="000000" w:sz="4" w:space="0"/>
            </w:tcBorders>
            <w:noWrap w:val="0"/>
            <w:vAlign w:val="center"/>
          </w:tcPr>
          <w:p w14:paraId="78CF8036">
            <w:pPr>
              <w:ind w:firstLine="2610" w:firstLineChars="1300"/>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橡胶支座</w:t>
            </w:r>
          </w:p>
        </w:tc>
      </w:tr>
      <w:tr w14:paraId="0391F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70F5D428">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4EA7F258">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外观及内在质量、抗压弹性模量、抗剪弹性模量、极限抗压强度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7DA2EBE">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组</w:t>
            </w:r>
          </w:p>
        </w:tc>
        <w:tc>
          <w:tcPr>
            <w:tcW w:w="1931" w:type="dxa"/>
            <w:tcBorders>
              <w:top w:val="single" w:color="000000" w:sz="4" w:space="0"/>
              <w:left w:val="single" w:color="000000" w:sz="4" w:space="0"/>
              <w:bottom w:val="single" w:color="000000" w:sz="4" w:space="0"/>
              <w:right w:val="nil"/>
            </w:tcBorders>
            <w:noWrap w:val="0"/>
            <w:vAlign w:val="center"/>
          </w:tcPr>
          <w:p w14:paraId="4B49E9C2">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4500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1A9A5582">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4E388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05B2DF3D">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十七</w:t>
            </w:r>
          </w:p>
        </w:tc>
        <w:tc>
          <w:tcPr>
            <w:tcW w:w="7298" w:type="dxa"/>
            <w:gridSpan w:val="4"/>
            <w:tcBorders>
              <w:top w:val="single" w:color="000000" w:sz="4" w:space="0"/>
              <w:left w:val="single" w:color="000000" w:sz="4" w:space="0"/>
              <w:bottom w:val="single" w:color="000000" w:sz="4" w:space="0"/>
              <w:right w:val="single" w:color="000000" w:sz="4" w:space="0"/>
            </w:tcBorders>
            <w:noWrap w:val="0"/>
            <w:vAlign w:val="center"/>
          </w:tcPr>
          <w:p w14:paraId="458DBB76">
            <w:pPr>
              <w:ind w:firstLine="2610" w:firstLineChars="1300"/>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金属波纹管</w:t>
            </w:r>
          </w:p>
        </w:tc>
      </w:tr>
      <w:tr w14:paraId="19376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8AAF3A0">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3ED10F77">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外观质量、外形尺寸、环刚度、径向刚度、集中荷载抗渗漏</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18E17CC7">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组</w:t>
            </w:r>
          </w:p>
        </w:tc>
        <w:tc>
          <w:tcPr>
            <w:tcW w:w="1931" w:type="dxa"/>
            <w:tcBorders>
              <w:top w:val="single" w:color="000000" w:sz="4" w:space="0"/>
              <w:left w:val="single" w:color="000000" w:sz="4" w:space="0"/>
              <w:bottom w:val="single" w:color="000000" w:sz="4" w:space="0"/>
              <w:right w:val="nil"/>
            </w:tcBorders>
            <w:noWrap w:val="0"/>
            <w:vAlign w:val="center"/>
          </w:tcPr>
          <w:p w14:paraId="2DCF5039">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2100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4462F747">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7C5DA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4F2003B0">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十八</w:t>
            </w:r>
          </w:p>
        </w:tc>
        <w:tc>
          <w:tcPr>
            <w:tcW w:w="7298" w:type="dxa"/>
            <w:gridSpan w:val="4"/>
            <w:tcBorders>
              <w:top w:val="single" w:color="000000" w:sz="4" w:space="0"/>
              <w:left w:val="single" w:color="000000" w:sz="4" w:space="0"/>
              <w:bottom w:val="single" w:color="000000" w:sz="4" w:space="0"/>
              <w:right w:val="single" w:color="000000" w:sz="4" w:space="0"/>
            </w:tcBorders>
            <w:noWrap w:val="0"/>
            <w:vAlign w:val="center"/>
          </w:tcPr>
          <w:p w14:paraId="644B604E">
            <w:pPr>
              <w:ind w:firstLine="2209" w:firstLineChars="1100"/>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单梁孔道压浆检测</w:t>
            </w:r>
          </w:p>
        </w:tc>
      </w:tr>
      <w:tr w14:paraId="1BB0E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2E559B36">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431AF041">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孔道压浆密实度</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4710A76D">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片</w:t>
            </w:r>
          </w:p>
        </w:tc>
        <w:tc>
          <w:tcPr>
            <w:tcW w:w="1931" w:type="dxa"/>
            <w:tcBorders>
              <w:top w:val="single" w:color="000000" w:sz="4" w:space="0"/>
              <w:left w:val="single" w:color="000000" w:sz="4" w:space="0"/>
              <w:bottom w:val="single" w:color="000000" w:sz="4" w:space="0"/>
              <w:right w:val="nil"/>
            </w:tcBorders>
            <w:noWrap w:val="0"/>
            <w:vAlign w:val="center"/>
          </w:tcPr>
          <w:p w14:paraId="2E122632">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3500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35016323">
            <w:pPr>
              <w:rPr>
                <w:rFonts w:hint="eastAsia" w:ascii="仿宋" w:hAnsi="仿宋" w:eastAsia="仿宋" w:cs="仿宋"/>
                <w:i w:val="0"/>
                <w:iCs w:val="0"/>
                <w:color w:val="000000" w:themeColor="text1"/>
                <w:sz w:val="20"/>
                <w:szCs w:val="20"/>
                <w:u w:val="none"/>
                <w14:textFill>
                  <w14:solidFill>
                    <w14:schemeClr w14:val="tx1"/>
                  </w14:solidFill>
                </w14:textFill>
              </w:rPr>
            </w:pPr>
          </w:p>
        </w:tc>
      </w:tr>
      <w:tr w14:paraId="35C07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D0896DB">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十九</w:t>
            </w:r>
          </w:p>
        </w:tc>
        <w:tc>
          <w:tcPr>
            <w:tcW w:w="7298" w:type="dxa"/>
            <w:gridSpan w:val="4"/>
            <w:tcBorders>
              <w:top w:val="single" w:color="000000" w:sz="4" w:space="0"/>
              <w:left w:val="single" w:color="000000" w:sz="4" w:space="0"/>
              <w:bottom w:val="single" w:color="000000" w:sz="4" w:space="0"/>
              <w:right w:val="single" w:color="000000" w:sz="4" w:space="0"/>
            </w:tcBorders>
            <w:noWrap w:val="0"/>
            <w:vAlign w:val="center"/>
          </w:tcPr>
          <w:p w14:paraId="45B3BDAD">
            <w:pPr>
              <w:ind w:firstLine="2610" w:firstLineChars="1300"/>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pPr>
            <w:r>
              <w:rPr>
                <w:rFonts w:hint="eastAsia" w:ascii="仿宋" w:hAnsi="仿宋" w:eastAsia="仿宋" w:cs="仿宋"/>
                <w:b/>
                <w:bCs/>
                <w:i w:val="0"/>
                <w:iCs w:val="0"/>
                <w:color w:val="000000" w:themeColor="text1"/>
                <w:sz w:val="20"/>
                <w:szCs w:val="20"/>
                <w:u w:val="none"/>
                <w:lang w:val="en-US" w:eastAsia="zh-CN"/>
                <w14:textFill>
                  <w14:solidFill>
                    <w14:schemeClr w14:val="tx1"/>
                  </w14:solidFill>
                </w14:textFill>
              </w:rPr>
              <w:t>桥梁结构</w:t>
            </w:r>
          </w:p>
        </w:tc>
      </w:tr>
      <w:tr w14:paraId="3AC4F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ED5DBFA">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p>
        </w:tc>
        <w:tc>
          <w:tcPr>
            <w:tcW w:w="2916" w:type="dxa"/>
            <w:tcBorders>
              <w:top w:val="single" w:color="000000" w:sz="4" w:space="0"/>
              <w:left w:val="single" w:color="000000" w:sz="4" w:space="0"/>
              <w:bottom w:val="single" w:color="000000" w:sz="4" w:space="0"/>
              <w:right w:val="single" w:color="000000" w:sz="4" w:space="0"/>
            </w:tcBorders>
            <w:noWrap w:val="0"/>
            <w:vAlign w:val="center"/>
          </w:tcPr>
          <w:p w14:paraId="24EFD8AE">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承载能力（动载、静载）</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14:paraId="311A62F6">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跨</w:t>
            </w:r>
          </w:p>
        </w:tc>
        <w:tc>
          <w:tcPr>
            <w:tcW w:w="1931" w:type="dxa"/>
            <w:tcBorders>
              <w:top w:val="single" w:color="000000" w:sz="4" w:space="0"/>
              <w:left w:val="single" w:color="000000" w:sz="4" w:space="0"/>
              <w:bottom w:val="single" w:color="000000" w:sz="4" w:space="0"/>
              <w:right w:val="nil"/>
            </w:tcBorders>
            <w:noWrap w:val="0"/>
            <w:vAlign w:val="center"/>
          </w:tcPr>
          <w:p w14:paraId="1D8E3DA6">
            <w:pPr>
              <w:keepNext w:val="0"/>
              <w:keepLines w:val="0"/>
              <w:widowControl/>
              <w:suppressLineNumbers w:val="0"/>
              <w:jc w:val="center"/>
              <w:textAlignment w:val="cente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50000</w:t>
            </w:r>
          </w:p>
        </w:tc>
        <w:tc>
          <w:tcPr>
            <w:tcW w:w="937" w:type="dxa"/>
            <w:tcBorders>
              <w:top w:val="single" w:color="000000" w:sz="4" w:space="0"/>
              <w:left w:val="single" w:color="000000" w:sz="4" w:space="0"/>
              <w:bottom w:val="single" w:color="000000" w:sz="4" w:space="0"/>
              <w:right w:val="single" w:color="000000" w:sz="4" w:space="0"/>
            </w:tcBorders>
            <w:noWrap/>
            <w:vAlign w:val="bottom"/>
          </w:tcPr>
          <w:p w14:paraId="7AC77EFB">
            <w:pPr>
              <w:rPr>
                <w:rFonts w:hint="eastAsia" w:ascii="仿宋" w:hAnsi="仿宋" w:eastAsia="仿宋" w:cs="仿宋"/>
                <w:i w:val="0"/>
                <w:iCs w:val="0"/>
                <w:color w:val="000000" w:themeColor="text1"/>
                <w:sz w:val="20"/>
                <w:szCs w:val="20"/>
                <w:u w:val="none"/>
                <w14:textFill>
                  <w14:solidFill>
                    <w14:schemeClr w14:val="tx1"/>
                  </w14:solidFill>
                </w14:textFill>
              </w:rPr>
            </w:pPr>
          </w:p>
        </w:tc>
      </w:tr>
    </w:tbl>
    <w:p w14:paraId="2C5EEFF2">
      <w:pPr>
        <w:rPr>
          <w:rFonts w:hint="eastAsia"/>
          <w:color w:val="000000" w:themeColor="text1"/>
          <w:sz w:val="20"/>
          <w:szCs w:val="20"/>
          <w:lang w:val="en-US" w:eastAsia="zh-Hans"/>
          <w14:textFill>
            <w14:solidFill>
              <w14:schemeClr w14:val="tx1"/>
            </w14:solidFill>
          </w14:textFill>
        </w:rPr>
      </w:pPr>
    </w:p>
    <w:p w14:paraId="0B39FA1C">
      <w:pPr>
        <w:rPr>
          <w:color w:val="000000" w:themeColor="text1"/>
          <w14:textFill>
            <w14:solidFill>
              <w14:schemeClr w14:val="tx1"/>
            </w14:solidFill>
          </w14:textFill>
        </w:rPr>
      </w:pPr>
    </w:p>
    <w:p w14:paraId="62A4602E">
      <w:pPr>
        <w:rPr>
          <w:color w:val="000000" w:themeColor="text1"/>
          <w14:textFill>
            <w14:solidFill>
              <w14:schemeClr w14:val="tx1"/>
            </w14:solidFill>
          </w14:textFill>
        </w:rPr>
      </w:pPr>
    </w:p>
    <w:p w14:paraId="2619B6B0">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5BE2C66F">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6B1D9628">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60856718">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38E379F4">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03812B3E">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12F7D8C2">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7B2FAB7C">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color w:val="000000" w:themeColor="text1"/>
          <w:sz w:val="20"/>
          <w:szCs w:val="20"/>
          <w14:textFill>
            <w14:solidFill>
              <w14:schemeClr w14:val="tx1"/>
            </w14:solidFill>
          </w14:textFill>
        </w:rPr>
      </w:pPr>
    </w:p>
    <w:p w14:paraId="2B1ED686">
      <w:pPr>
        <w:pStyle w:val="2"/>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color w:val="000000" w:themeColor="text1"/>
          <w:spacing w:val="7"/>
          <w:sz w:val="36"/>
          <w:szCs w:val="36"/>
          <w14:textFill>
            <w14:solidFill>
              <w14:schemeClr w14:val="tx1"/>
            </w14:solidFill>
          </w14:textFill>
        </w:rPr>
      </w:pPr>
    </w:p>
    <w:p w14:paraId="0CF92AC1">
      <w:pPr>
        <w:rPr>
          <w:color w:val="000000" w:themeColor="text1"/>
          <w14:textFill>
            <w14:solidFill>
              <w14:schemeClr w14:val="tx1"/>
            </w14:solidFill>
          </w14:textFill>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EFADC">
    <w:pPr>
      <w:spacing w:line="174" w:lineRule="auto"/>
      <w:ind w:left="43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C0365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AC0365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9174D">
    <w:pPr>
      <w:spacing w:line="174" w:lineRule="auto"/>
      <w:ind w:left="43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D4CDFC">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D4CDFC">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ACE62">
    <w:pPr>
      <w:spacing w:line="174" w:lineRule="auto"/>
      <w:ind w:left="43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F6F5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50F6F5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E6C04"/>
    <w:rsid w:val="19613133"/>
    <w:rsid w:val="2D7578DB"/>
    <w:rsid w:val="2E9F5C62"/>
    <w:rsid w:val="406340DF"/>
    <w:rsid w:val="5EFE6C04"/>
    <w:rsid w:val="5FBB3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4804</Words>
  <Characters>4878</Characters>
  <Lines>0</Lines>
  <Paragraphs>0</Paragraphs>
  <TotalTime>0</TotalTime>
  <ScaleCrop>false</ScaleCrop>
  <LinksUpToDate>false</LinksUpToDate>
  <CharactersWithSpaces>5281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2025-05-19T00:55:00Z</dcterms:created>
  <dc:creator>实验一下昵称最长可以多少个字符</dc:creator>
  <cp:lastModifiedBy>实验一下昵称最长可以多少个字符</cp:lastModifiedBy>
  <dcterms:modified xsi:type="dcterms:W3CDTF">2025-05-19T03:05:45Z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9504CA05FFCE4E2FAA80D7863BE14541_11</vt:lpwstr>
  </property>
  <property fmtid="{D5CDD505-2E9C-101B-9397-08002B2CF9AE}" pid="4" name="KSOTemplateDocerSaveRecord">
    <vt:lpwstr>eyJoZGlkIjoiMzRlNzcxODliYTIzNDJjYjQ1N2EzMGZmZDA4MmNjYjciLCJ1c2VySWQiOiI1MTgyODA3In0=</vt:lpwstr>
  </property>
</Properties>
</file>