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版本号：ZCSP-渭南市-2025-0036520250518001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公路工程质量安全建设管理服务项目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ZCSP-渭南市-2025-00365</w:t>
      </w:r>
      <w:r>
        <w:br/>
      </w:r>
      <w:r>
        <w:br/>
      </w:r>
      <w:r>
        <w:br/>
      </w:r>
    </w:p>
    <w:p>
      <w:pPr>
        <w:pStyle w:val="null3"/>
        <w:jc w:val="center"/>
        <w:outlineLvl w:val="2"/>
      </w:pPr>
      <w:r>
        <w:rPr>
          <w:rFonts w:ascii="仿宋_GB2312" w:hAnsi="仿宋_GB2312" w:cs="仿宋_GB2312" w:eastAsia="仿宋_GB2312"/>
          <w:sz w:val="28"/>
          <w:b/>
        </w:rPr>
        <w:t>渭南市交通工程质量监督站</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渭南市交通工程质量监督站</w:t>
      </w:r>
      <w:r>
        <w:rPr>
          <w:rFonts w:ascii="仿宋_GB2312" w:hAnsi="仿宋_GB2312" w:cs="仿宋_GB2312" w:eastAsia="仿宋_GB2312"/>
        </w:rPr>
        <w:t>委托，拟对</w:t>
      </w:r>
      <w:r>
        <w:rPr>
          <w:rFonts w:ascii="仿宋_GB2312" w:hAnsi="仿宋_GB2312" w:cs="仿宋_GB2312" w:eastAsia="仿宋_GB2312"/>
        </w:rPr>
        <w:t>公路工程质量安全建设管理服务项目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公路工程质量安全建设管理服务项目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采购包1（信息系统建设）：渭南市交通工程质量监督站公路工程质量安全建设管理服务项目信息系统建设； 采购包2（交通安全检测服务）：渭南市交通工程质量监督站公路工程质量安全建设管理服务项目交通安全检测服务。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采购包1（信息系统建设）：属于专门面向中小企业采购。</w:t>
      </w:r>
    </w:p>
    <w:p>
      <w:pPr>
        <w:pStyle w:val="null3"/>
      </w:pPr>
      <w:r>
        <w:rPr>
          <w:rFonts w:ascii="仿宋_GB2312" w:hAnsi="仿宋_GB2312" w:cs="仿宋_GB2312" w:eastAsia="仿宋_GB2312"/>
        </w:rPr>
        <w:t>采购包2（交通安全检测服务）：属于专门面向中小企业采购。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1、营业执照等证明文件：具有独立承担民事责任能力的企业法人、其他组织或自然人。</w:t>
      </w:r>
    </w:p>
    <w:p>
      <w:pPr>
        <w:pStyle w:val="null3"/>
      </w:pPr>
      <w:r>
        <w:rPr>
          <w:rFonts w:ascii="仿宋_GB2312" w:hAnsi="仿宋_GB2312" w:cs="仿宋_GB2312" w:eastAsia="仿宋_GB2312"/>
        </w:rPr>
        <w:t>2、法定代表人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p>
      <w:pPr>
        <w:pStyle w:val="null3"/>
      </w:pPr>
      <w:r>
        <w:rPr>
          <w:rFonts w:ascii="仿宋_GB2312" w:hAnsi="仿宋_GB2312" w:cs="仿宋_GB2312" w:eastAsia="仿宋_GB2312"/>
        </w:rPr>
        <w:t>3、税收缴纳证明和社会保障资金缴纳证明：①提供2025年1月1日至今已缴存的至少一个月的社会保障资金缴存单据或社保机构开具的社会保险参保缴费情况证明；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p>
      <w:pPr>
        <w:pStyle w:val="null3"/>
      </w:pPr>
      <w:r>
        <w:rPr>
          <w:rFonts w:ascii="仿宋_GB2312" w:hAnsi="仿宋_GB2312" w:cs="仿宋_GB2312" w:eastAsia="仿宋_GB2312"/>
        </w:rPr>
        <w:t>4、财务状况报告：提供2024年度经审计的财务报告或开标前六个月内其基本账户银行出具的资信证明。</w:t>
      </w:r>
    </w:p>
    <w:p>
      <w:pPr>
        <w:pStyle w:val="null3"/>
      </w:pPr>
      <w:r>
        <w:rPr>
          <w:rFonts w:ascii="仿宋_GB2312" w:hAnsi="仿宋_GB2312" w:cs="仿宋_GB2312" w:eastAsia="仿宋_GB2312"/>
        </w:rPr>
        <w:t>5、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9、磋商保证金缴纳凭证或投标担保函：提供磋商保证金缴纳凭证或投标担保函复印件、代理公司开具的保证金收据。</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1、营业执照等证明文件：具有独立承担民事责任能力的企业法人、其他组织或自然人。</w:t>
      </w:r>
    </w:p>
    <w:p>
      <w:pPr>
        <w:pStyle w:val="null3"/>
      </w:pPr>
      <w:r>
        <w:rPr>
          <w:rFonts w:ascii="仿宋_GB2312" w:hAnsi="仿宋_GB2312" w:cs="仿宋_GB2312" w:eastAsia="仿宋_GB2312"/>
        </w:rPr>
        <w:t>2、法定代表人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p>
      <w:pPr>
        <w:pStyle w:val="null3"/>
      </w:pPr>
      <w:r>
        <w:rPr>
          <w:rFonts w:ascii="仿宋_GB2312" w:hAnsi="仿宋_GB2312" w:cs="仿宋_GB2312" w:eastAsia="仿宋_GB2312"/>
        </w:rPr>
        <w:t>3、税收缴纳证明和社会保障资金缴纳证明：①提供2025年1月1日至今已缴存的至少一个月的社会保障资金缴存单据或社保机构开具的社会保险参保缴费情况证明；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p>
      <w:pPr>
        <w:pStyle w:val="null3"/>
      </w:pPr>
      <w:r>
        <w:rPr>
          <w:rFonts w:ascii="仿宋_GB2312" w:hAnsi="仿宋_GB2312" w:cs="仿宋_GB2312" w:eastAsia="仿宋_GB2312"/>
        </w:rPr>
        <w:t>4、财务状况报告：提供2024年度经审计的财务报告或开标前六个月内其基本账户银行出具的资信证明。</w:t>
      </w:r>
    </w:p>
    <w:p>
      <w:pPr>
        <w:pStyle w:val="null3"/>
      </w:pPr>
      <w:r>
        <w:rPr>
          <w:rFonts w:ascii="仿宋_GB2312" w:hAnsi="仿宋_GB2312" w:cs="仿宋_GB2312" w:eastAsia="仿宋_GB2312"/>
        </w:rPr>
        <w:t>5、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9、企业资质：供应商须具备公路工程试验检测甲级资质；具备相关行政部门颁发的检验检测机构资质认定证书（CMA认证）。</w:t>
      </w:r>
    </w:p>
    <w:p>
      <w:pPr>
        <w:pStyle w:val="null3"/>
      </w:pPr>
      <w:r>
        <w:rPr>
          <w:rFonts w:ascii="仿宋_GB2312" w:hAnsi="仿宋_GB2312" w:cs="仿宋_GB2312" w:eastAsia="仿宋_GB2312"/>
        </w:rPr>
        <w:t>10、项目负责人资质：须具有公路工程试验检测工程师证书和相关专业高级及以上技术职称。</w:t>
      </w:r>
    </w:p>
    <w:p>
      <w:pPr>
        <w:pStyle w:val="null3"/>
      </w:pPr>
      <w:r>
        <w:rPr>
          <w:rFonts w:ascii="仿宋_GB2312" w:hAnsi="仿宋_GB2312" w:cs="仿宋_GB2312" w:eastAsia="仿宋_GB2312"/>
        </w:rPr>
        <w:t>11、磋商保证金缴纳凭证或投标担保函：提供磋商保证金缴纳凭证或投标担保函复印件、代理公司开具的保证金收据。</w:t>
      </w:r>
    </w:p>
    <w:p>
      <w:pPr>
        <w:pStyle w:val="null3"/>
      </w:pPr>
      <w:r>
        <w:rPr>
          <w:rFonts w:ascii="仿宋_GB2312" w:hAnsi="仿宋_GB2312" w:cs="仿宋_GB2312" w:eastAsia="仿宋_GB2312"/>
        </w:rPr>
        <w:t>12、联合体磋商：本项目不接受联合体磋商。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渭南市交通工程质量监督站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0913-2111875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开户银行：中国邮政储蓄银行股份有限公司渭南高新区支行</w:t>
            </w:r>
          </w:p>
          <w:p>
            <w:pPr>
              <w:pStyle w:val="null3"/>
            </w:pPr>
            <w:r>
              <w:rPr>
                <w:rFonts w:ascii="仿宋_GB2312" w:hAnsi="仿宋_GB2312" w:cs="仿宋_GB2312" w:eastAsia="仿宋_GB2312"/>
              </w:rPr>
              <w:t>银行账号：9610 5801 3000 1504 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渭南市交通工程质量监督站</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渭南市交通工程质量监督站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渭南市交通工程质量监督站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1、质量标准:达到国家及行业验收合格标准，满足采购人要求。 2.所提供服务符合采购文件供应商承诺及采购合同约定的要求。 3.在运维期间内，项目中涉及的系统软件免费升级，需负责全部升级工作，以保证不影响系统的运行。不管是在保修期内还是保修期外，免费为采购人提供技术咨询服务，这其中包括：新技术咨询、配置调整、故障解决等。 4.本项目由采购人及相关部门对项目进行验收。 5.供应商承诺及采购合同约定的附件、工具、技术资料等齐全。 6.验收标准：按磋商文件、响应文件、项目交付情况等综合指标进行验收。各项指标均应符合验收标准及要求。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1、质量标准:达到国家及行业验收合格标准。 2、本项目由采购人及相关部门定期对项目进行阶段性验收，验收内容以报告和服务天数进行结算。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采购包1（信息系统建设）：渭南市交通工程质量监督站公路工程质量安全建设管理服务项目信息系统建设； 采购包2（交通安全检测服务）：渭南市交通工程质量监督站公路工程质量安全建设管理服务项目交通安全检测服务。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交通安全检测服务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核心功能模块</w:t>
            </w:r>
          </w:p>
          <w:p>
            <w:pPr>
              <w:pStyle w:val="null3"/>
              <w:jc w:val="both"/>
            </w:pPr>
            <w:r>
              <w:rPr>
                <w:rFonts w:ascii="仿宋_GB2312" w:hAnsi="仿宋_GB2312" w:cs="仿宋_GB2312" w:eastAsia="仿宋_GB2312"/>
                <w:sz w:val="20"/>
              </w:rPr>
              <w:t>①政策法规库管理模块</w:t>
            </w:r>
          </w:p>
          <w:p>
            <w:pPr>
              <w:pStyle w:val="null3"/>
              <w:jc w:val="both"/>
            </w:pPr>
            <w:r>
              <w:rPr>
                <w:rFonts w:ascii="仿宋_GB2312" w:hAnsi="仿宋_GB2312" w:cs="仿宋_GB2312" w:eastAsia="仿宋_GB2312"/>
                <w:sz w:val="20"/>
              </w:rPr>
              <w:t>功能：负责收集、整理、更新和查询国家关于公路建设工作的方针政策、法律法规、强制性技术标准以及本地区的各类相关信息资料。</w:t>
            </w:r>
          </w:p>
          <w:p>
            <w:pPr>
              <w:pStyle w:val="null3"/>
              <w:jc w:val="both"/>
            </w:pPr>
            <w:r>
              <w:rPr>
                <w:rFonts w:ascii="仿宋_GB2312" w:hAnsi="仿宋_GB2312" w:cs="仿宋_GB2312" w:eastAsia="仿宋_GB2312"/>
                <w:sz w:val="20"/>
              </w:rPr>
              <w:t>目标：确保用户能够随时获取到最新、最准确的公路建设相关政策和法规信息，为公路建设项目的决策和实施提供有力支持。</w:t>
            </w:r>
          </w:p>
          <w:p>
            <w:pPr>
              <w:pStyle w:val="null3"/>
              <w:jc w:val="both"/>
            </w:pPr>
            <w:r>
              <w:rPr>
                <w:rFonts w:ascii="仿宋_GB2312" w:hAnsi="仿宋_GB2312" w:cs="仿宋_GB2312" w:eastAsia="仿宋_GB2312"/>
                <w:sz w:val="20"/>
              </w:rPr>
              <w:t>②从业单位信息管理模块</w:t>
            </w:r>
          </w:p>
          <w:p>
            <w:pPr>
              <w:pStyle w:val="null3"/>
              <w:jc w:val="both"/>
            </w:pPr>
            <w:r>
              <w:rPr>
                <w:rFonts w:ascii="仿宋_GB2312" w:hAnsi="仿宋_GB2312" w:cs="仿宋_GB2312" w:eastAsia="仿宋_GB2312"/>
                <w:sz w:val="20"/>
              </w:rPr>
              <w:t>功能：对本市在建工程项目中的建设、勘察设计、施工、监理、试验检测机构等从业单位的信息进行收集和动态管理。</w:t>
            </w:r>
          </w:p>
          <w:p>
            <w:pPr>
              <w:pStyle w:val="null3"/>
              <w:jc w:val="both"/>
            </w:pPr>
            <w:r>
              <w:rPr>
                <w:rFonts w:ascii="仿宋_GB2312" w:hAnsi="仿宋_GB2312" w:cs="仿宋_GB2312" w:eastAsia="仿宋_GB2312"/>
                <w:sz w:val="20"/>
              </w:rPr>
              <w:t>目标：实现对在建工程项目各参与方的全面监控和管理，确保项目的顺利进行和高质量完成。</w:t>
            </w:r>
          </w:p>
          <w:p>
            <w:pPr>
              <w:pStyle w:val="null3"/>
              <w:jc w:val="both"/>
            </w:pPr>
            <w:r>
              <w:rPr>
                <w:rFonts w:ascii="仿宋_GB2312" w:hAnsi="仿宋_GB2312" w:cs="仿宋_GB2312" w:eastAsia="仿宋_GB2312"/>
                <w:sz w:val="20"/>
              </w:rPr>
              <w:t>③工程项目资料管理模块</w:t>
            </w:r>
          </w:p>
          <w:p>
            <w:pPr>
              <w:pStyle w:val="null3"/>
              <w:jc w:val="both"/>
            </w:pPr>
            <w:r>
              <w:rPr>
                <w:rFonts w:ascii="仿宋_GB2312" w:hAnsi="仿宋_GB2312" w:cs="仿宋_GB2312" w:eastAsia="仿宋_GB2312"/>
                <w:sz w:val="20"/>
              </w:rPr>
              <w:t>功能：对工程项目的前期准备、施工过程、交竣工验收等阶段的资料进行统一管理和归档。</w:t>
            </w:r>
          </w:p>
          <w:p>
            <w:pPr>
              <w:pStyle w:val="null3"/>
              <w:jc w:val="both"/>
            </w:pPr>
            <w:r>
              <w:rPr>
                <w:rFonts w:ascii="仿宋_GB2312" w:hAnsi="仿宋_GB2312" w:cs="仿宋_GB2312" w:eastAsia="仿宋_GB2312"/>
                <w:sz w:val="20"/>
              </w:rPr>
              <w:t>目标：确保工程项目资料的完整性、准确性和可追溯性，为项目的后续管理和维护提供有力保障。</w:t>
            </w:r>
          </w:p>
          <w:p>
            <w:pPr>
              <w:pStyle w:val="null3"/>
              <w:jc w:val="both"/>
            </w:pPr>
            <w:r>
              <w:rPr>
                <w:rFonts w:ascii="仿宋_GB2312" w:hAnsi="仿宋_GB2312" w:cs="仿宋_GB2312" w:eastAsia="仿宋_GB2312"/>
                <w:sz w:val="20"/>
              </w:rPr>
              <w:t>④数据统计分析模块</w:t>
            </w:r>
          </w:p>
          <w:p>
            <w:pPr>
              <w:pStyle w:val="null3"/>
              <w:jc w:val="both"/>
            </w:pPr>
            <w:r>
              <w:rPr>
                <w:rFonts w:ascii="仿宋_GB2312" w:hAnsi="仿宋_GB2312" w:cs="仿宋_GB2312" w:eastAsia="仿宋_GB2312"/>
                <w:sz w:val="20"/>
              </w:rPr>
              <w:t>功能：负责质量安全监督抽查情况的记录、数据统计分析、存在问题的识别以及应对措施的制定和实施。</w:t>
            </w:r>
          </w:p>
          <w:p>
            <w:pPr>
              <w:pStyle w:val="null3"/>
              <w:jc w:val="both"/>
            </w:pPr>
            <w:r>
              <w:rPr>
                <w:rFonts w:ascii="仿宋_GB2312" w:hAnsi="仿宋_GB2312" w:cs="仿宋_GB2312" w:eastAsia="仿宋_GB2312"/>
                <w:sz w:val="20"/>
              </w:rPr>
              <w:t>目标：通过全面的质量安全监督和管理，提高工程项目的质量水平，确保项目的安全实施，及时发现和解决潜在的质量问题。</w:t>
            </w:r>
          </w:p>
          <w:p>
            <w:pPr>
              <w:pStyle w:val="null3"/>
              <w:jc w:val="both"/>
            </w:pPr>
            <w:r>
              <w:rPr>
                <w:rFonts w:ascii="仿宋_GB2312" w:hAnsi="仿宋_GB2312" w:cs="仿宋_GB2312" w:eastAsia="仿宋_GB2312"/>
                <w:sz w:val="20"/>
              </w:rPr>
              <w:t>⑤智能视频监管模块</w:t>
            </w:r>
          </w:p>
          <w:p>
            <w:pPr>
              <w:pStyle w:val="null3"/>
              <w:jc w:val="both"/>
            </w:pPr>
            <w:r>
              <w:rPr>
                <w:rFonts w:ascii="仿宋_GB2312" w:hAnsi="仿宋_GB2312" w:cs="仿宋_GB2312" w:eastAsia="仿宋_GB2312"/>
                <w:sz w:val="20"/>
              </w:rPr>
              <w:t>功能：通过远程视频实时监控施工现场进展情况，并可以缩放、旋转等交互手段进一步查看视频内容。</w:t>
            </w:r>
          </w:p>
          <w:p>
            <w:pPr>
              <w:pStyle w:val="null3"/>
              <w:jc w:val="both"/>
            </w:pPr>
            <w:r>
              <w:rPr>
                <w:rFonts w:ascii="仿宋_GB2312" w:hAnsi="仿宋_GB2312" w:cs="仿宋_GB2312" w:eastAsia="仿宋_GB2312"/>
                <w:sz w:val="20"/>
              </w:rPr>
              <w:t>目标：引入全流程可视化监控体系，逐步覆盖工程关键节点，实时共享施工画面至参建各方，通过远程可视化监督强化质量管控与安全预警能力。</w:t>
            </w:r>
          </w:p>
          <w:p>
            <w:pPr>
              <w:pStyle w:val="null3"/>
              <w:jc w:val="both"/>
            </w:pPr>
            <w:r>
              <w:rPr>
                <w:rFonts w:ascii="仿宋_GB2312" w:hAnsi="仿宋_GB2312" w:cs="仿宋_GB2312" w:eastAsia="仿宋_GB2312"/>
                <w:sz w:val="20"/>
              </w:rPr>
              <w:t>⑥系统管理模块</w:t>
            </w:r>
          </w:p>
          <w:p>
            <w:pPr>
              <w:pStyle w:val="null3"/>
              <w:jc w:val="both"/>
            </w:pPr>
            <w:r>
              <w:rPr>
                <w:rFonts w:ascii="仿宋_GB2312" w:hAnsi="仿宋_GB2312" w:cs="仿宋_GB2312" w:eastAsia="仿宋_GB2312"/>
                <w:sz w:val="20"/>
              </w:rPr>
              <w:t>用户及权限管理：提供完善的用户及权限管理功能，支持角色权限自定义，确保系统使用的安全性与合规性。同时，系统支持用户信息的批量导入与导出，方便用户管理。</w:t>
            </w:r>
          </w:p>
          <w:p>
            <w:pPr>
              <w:pStyle w:val="null3"/>
              <w:jc w:val="both"/>
            </w:pPr>
            <w:r>
              <w:rPr>
                <w:rFonts w:ascii="仿宋_GB2312" w:hAnsi="仿宋_GB2312" w:cs="仿宋_GB2312" w:eastAsia="仿宋_GB2312"/>
                <w:sz w:val="20"/>
              </w:rPr>
              <w:t>基础信息维护：基础信息维护功能确保了项目基本信息、施工企业信息等数据的准确性和时效性。系统支持数据的批量更新与校验，避免了数据错误对后续工作的影响。同时，系统提供了数据备份与恢复功能，确保了数据的安全性与可靠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系统技术要求</w:t>
            </w:r>
          </w:p>
          <w:p>
            <w:pPr>
              <w:pStyle w:val="null3"/>
              <w:jc w:val="both"/>
            </w:pPr>
            <w:r>
              <w:rPr>
                <w:rFonts w:ascii="仿宋_GB2312" w:hAnsi="仿宋_GB2312" w:cs="仿宋_GB2312" w:eastAsia="仿宋_GB2312"/>
                <w:sz w:val="20"/>
              </w:rPr>
              <w:t>①文档管理</w:t>
            </w:r>
          </w:p>
          <w:p>
            <w:pPr>
              <w:pStyle w:val="null3"/>
              <w:jc w:val="both"/>
            </w:pPr>
            <w:r>
              <w:rPr>
                <w:rFonts w:ascii="仿宋_GB2312" w:hAnsi="仿宋_GB2312" w:cs="仿宋_GB2312" w:eastAsia="仿宋_GB2312"/>
                <w:sz w:val="20"/>
              </w:rPr>
              <w:t>系统需能按文档类型、项目等维度归集形成统一文档库，需支持查询项目全周期各环节的各类项目文档信息，并支持文档分类（来源、归口、标题、文号、摘要、发布时间等）查询。</w:t>
            </w:r>
          </w:p>
          <w:p>
            <w:pPr>
              <w:pStyle w:val="null3"/>
              <w:jc w:val="both"/>
            </w:pPr>
            <w:r>
              <w:rPr>
                <w:rFonts w:ascii="仿宋_GB2312" w:hAnsi="仿宋_GB2312" w:cs="仿宋_GB2312" w:eastAsia="仿宋_GB2312"/>
                <w:sz w:val="20"/>
              </w:rPr>
              <w:t>②统计分析</w:t>
            </w:r>
          </w:p>
          <w:p>
            <w:pPr>
              <w:pStyle w:val="null3"/>
              <w:jc w:val="both"/>
            </w:pPr>
            <w:r>
              <w:rPr>
                <w:rFonts w:ascii="仿宋_GB2312" w:hAnsi="仿宋_GB2312" w:cs="仿宋_GB2312" w:eastAsia="仿宋_GB2312"/>
                <w:sz w:val="20"/>
              </w:rPr>
              <w:t>系统</w:t>
            </w:r>
            <w:r>
              <w:rPr>
                <w:rFonts w:ascii="仿宋_GB2312" w:hAnsi="仿宋_GB2312" w:cs="仿宋_GB2312" w:eastAsia="仿宋_GB2312"/>
                <w:sz w:val="20"/>
              </w:rPr>
              <w:t>可针对业务情况，提供常见维度分析报表，所有报表可导出</w:t>
            </w:r>
            <w:r>
              <w:rPr>
                <w:rFonts w:ascii="仿宋_GB2312" w:hAnsi="仿宋_GB2312" w:cs="仿宋_GB2312" w:eastAsia="仿宋_GB2312"/>
                <w:sz w:val="20"/>
              </w:rPr>
              <w:t>；</w:t>
            </w:r>
            <w:r>
              <w:rPr>
                <w:rFonts w:ascii="仿宋_GB2312" w:hAnsi="仿宋_GB2312" w:cs="仿宋_GB2312" w:eastAsia="仿宋_GB2312"/>
                <w:sz w:val="20"/>
              </w:rPr>
              <w:t>支持实现</w:t>
            </w:r>
            <w:r>
              <w:rPr>
                <w:rFonts w:ascii="仿宋_GB2312" w:hAnsi="仿宋_GB2312" w:cs="仿宋_GB2312" w:eastAsia="仿宋_GB2312"/>
                <w:sz w:val="20"/>
              </w:rPr>
              <w:t>按</w:t>
            </w:r>
            <w:r>
              <w:rPr>
                <w:rFonts w:ascii="仿宋_GB2312" w:hAnsi="仿宋_GB2312" w:cs="仿宋_GB2312" w:eastAsia="仿宋_GB2312"/>
                <w:sz w:val="20"/>
              </w:rPr>
              <w:t>工程项目状态、项目进度等跟踪分析；支持多口径、多维度、图形化的统计分析。</w:t>
            </w:r>
          </w:p>
          <w:p>
            <w:pPr>
              <w:pStyle w:val="null3"/>
              <w:jc w:val="both"/>
            </w:pPr>
            <w:r>
              <w:rPr>
                <w:rFonts w:ascii="仿宋_GB2312" w:hAnsi="仿宋_GB2312" w:cs="仿宋_GB2312" w:eastAsia="仿宋_GB2312"/>
                <w:sz w:val="20"/>
              </w:rPr>
              <w:t>③权限管理</w:t>
            </w:r>
          </w:p>
          <w:p>
            <w:pPr>
              <w:pStyle w:val="null3"/>
              <w:jc w:val="both"/>
            </w:pPr>
            <w:r>
              <w:rPr>
                <w:rFonts w:ascii="仿宋_GB2312" w:hAnsi="仿宋_GB2312" w:cs="仿宋_GB2312" w:eastAsia="仿宋_GB2312"/>
                <w:sz w:val="20"/>
              </w:rPr>
              <w:t>系统可根据质监站的要求实现对不同角色进行分类授权管理，同时对不同项目阶段的资料可以实现权限管控的自定义，明确授权才能查阅、修改、审核，达到根据业务部门、角色职能等进行分级授权。</w:t>
            </w:r>
          </w:p>
          <w:p>
            <w:pPr>
              <w:pStyle w:val="null3"/>
              <w:jc w:val="both"/>
            </w:pPr>
            <w:r>
              <w:rPr>
                <w:rFonts w:ascii="仿宋_GB2312" w:hAnsi="仿宋_GB2312" w:cs="仿宋_GB2312" w:eastAsia="仿宋_GB2312"/>
                <w:sz w:val="20"/>
              </w:rPr>
              <w:t>④系统架构</w:t>
            </w:r>
          </w:p>
          <w:p>
            <w:pPr>
              <w:pStyle w:val="null3"/>
              <w:jc w:val="both"/>
            </w:pPr>
            <w:r>
              <w:rPr>
                <w:rFonts w:ascii="仿宋_GB2312" w:hAnsi="仿宋_GB2312" w:cs="仿宋_GB2312" w:eastAsia="仿宋_GB2312"/>
                <w:sz w:val="20"/>
              </w:rPr>
              <w:t>系统总体技术架构应具有高可用性和易用性，满足可靠性和安全性要求，且开发部署灵活、可扩展、易于维护。</w:t>
            </w:r>
          </w:p>
          <w:p>
            <w:pPr>
              <w:pStyle w:val="null3"/>
              <w:jc w:val="both"/>
            </w:pPr>
            <w:r>
              <w:rPr>
                <w:rFonts w:ascii="仿宋_GB2312" w:hAnsi="仿宋_GB2312" w:cs="仿宋_GB2312" w:eastAsia="仿宋_GB2312"/>
                <w:sz w:val="20"/>
              </w:rPr>
              <w:t>A可用性</w:t>
            </w:r>
          </w:p>
          <w:p>
            <w:pPr>
              <w:pStyle w:val="null3"/>
              <w:jc w:val="both"/>
            </w:pPr>
            <w:r>
              <w:rPr>
                <w:rFonts w:ascii="仿宋_GB2312" w:hAnsi="仿宋_GB2312" w:cs="仿宋_GB2312" w:eastAsia="仿宋_GB2312"/>
                <w:sz w:val="20"/>
              </w:rPr>
              <w:t>系统最大并发用户数不低于</w:t>
            </w:r>
            <w:r>
              <w:rPr>
                <w:rFonts w:ascii="仿宋_GB2312" w:hAnsi="仿宋_GB2312" w:cs="仿宋_GB2312" w:eastAsia="仿宋_GB2312"/>
                <w:sz w:val="20"/>
              </w:rPr>
              <w:t>200；每次合法的页面访问和信息下载的占有时间，在正常网络连接基础上不超过3秒；系统在不低于200个用户对同一应用并发请求时，正常业务执行时间&lt;3s、非统计性查询响应时间≤2s、统计性查询响应时间≤8s。</w:t>
            </w:r>
          </w:p>
          <w:p>
            <w:pPr>
              <w:pStyle w:val="null3"/>
              <w:jc w:val="both"/>
            </w:pPr>
            <w:r>
              <w:rPr>
                <w:rFonts w:ascii="仿宋_GB2312" w:hAnsi="仿宋_GB2312" w:cs="仿宋_GB2312" w:eastAsia="仿宋_GB2312"/>
                <w:sz w:val="20"/>
              </w:rPr>
              <w:t>B易用性</w:t>
            </w:r>
          </w:p>
          <w:p>
            <w:pPr>
              <w:pStyle w:val="null3"/>
              <w:jc w:val="both"/>
            </w:pPr>
            <w:r>
              <w:rPr>
                <w:rFonts w:ascii="仿宋_GB2312" w:hAnsi="仿宋_GB2312" w:cs="仿宋_GB2312" w:eastAsia="仿宋_GB2312"/>
                <w:sz w:val="20"/>
              </w:rPr>
              <w:t>系统需基于应用功能提供丰富的展示控件，通过丰富的形式更恰当地传达信息。通过布局、控件与色彩的恰当搭配，传递简洁、美观、协调的视觉效果，打造轻松、简单、便捷的操作体验，满足质监站操作层、支持层和决策层操作使用的不同体验。</w:t>
            </w:r>
          </w:p>
          <w:p>
            <w:pPr>
              <w:pStyle w:val="null3"/>
              <w:jc w:val="both"/>
            </w:pPr>
            <w:r>
              <w:rPr>
                <w:rFonts w:ascii="仿宋_GB2312" w:hAnsi="仿宋_GB2312" w:cs="仿宋_GB2312" w:eastAsia="仿宋_GB2312"/>
                <w:sz w:val="20"/>
              </w:rPr>
              <w:t>C可靠性</w:t>
            </w:r>
          </w:p>
          <w:p>
            <w:pPr>
              <w:pStyle w:val="null3"/>
              <w:jc w:val="both"/>
            </w:pPr>
            <w:r>
              <w:rPr>
                <w:rFonts w:ascii="仿宋_GB2312" w:hAnsi="仿宋_GB2312" w:cs="仿宋_GB2312" w:eastAsia="仿宋_GB2312"/>
                <w:sz w:val="20"/>
              </w:rPr>
              <w:t>系统稳定试运行三个月以上，运行安全、稳定，达到</w:t>
            </w:r>
            <w:r>
              <w:rPr>
                <w:rFonts w:ascii="仿宋_GB2312" w:hAnsi="仿宋_GB2312" w:cs="仿宋_GB2312" w:eastAsia="仿宋_GB2312"/>
                <w:sz w:val="20"/>
              </w:rPr>
              <w:t>7×24h 的可靠运行能力，平均年故障时间&lt;1天，普通故障平均故障修复时间&lt;30分钟。</w:t>
            </w:r>
          </w:p>
          <w:p>
            <w:pPr>
              <w:pStyle w:val="null3"/>
              <w:jc w:val="both"/>
            </w:pPr>
            <w:r>
              <w:rPr>
                <w:rFonts w:ascii="仿宋_GB2312" w:hAnsi="仿宋_GB2312" w:cs="仿宋_GB2312" w:eastAsia="仿宋_GB2312"/>
                <w:sz w:val="20"/>
              </w:rPr>
              <w:t>D安全性</w:t>
            </w:r>
          </w:p>
          <w:p>
            <w:pPr>
              <w:pStyle w:val="null3"/>
              <w:jc w:val="both"/>
            </w:pPr>
            <w:r>
              <w:rPr>
                <w:rFonts w:ascii="仿宋_GB2312" w:hAnsi="仿宋_GB2312" w:cs="仿宋_GB2312" w:eastAsia="仿宋_GB2312"/>
                <w:sz w:val="20"/>
              </w:rPr>
              <w:t>系统建设应从应用安全、数据安全、网络安全、主机安全、数据备份等多个方面考虑信息安全策略方案，包括但不限于全备份、增量备份、归档日志备份、逻辑备份等策略，制定项目灾备方案及重大安全事件的应急解决方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运行环境</w:t>
            </w:r>
          </w:p>
          <w:p>
            <w:pPr>
              <w:pStyle w:val="null3"/>
              <w:jc w:val="both"/>
            </w:pPr>
            <w:r>
              <w:rPr>
                <w:rFonts w:ascii="仿宋_GB2312" w:hAnsi="仿宋_GB2312" w:cs="仿宋_GB2312" w:eastAsia="仿宋_GB2312"/>
                <w:sz w:val="20"/>
              </w:rPr>
              <w:t>系统需部署在公有云平台上，服务器配置不低于</w:t>
            </w:r>
            <w:r>
              <w:rPr>
                <w:rFonts w:ascii="仿宋_GB2312" w:hAnsi="仿宋_GB2312" w:cs="仿宋_GB2312" w:eastAsia="仿宋_GB2312"/>
                <w:sz w:val="20"/>
              </w:rPr>
              <w:t>8核32G，且运行中数据需保存五年以内的全部业务数据。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标的名称：交通安全检测服务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涉及市交通工程质监站监督的国省干线及重要农村公路建设项目工程实体、原材料等抽检试验</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各县</w:t>
            </w:r>
            <w:r>
              <w:rPr>
                <w:rFonts w:ascii="仿宋_GB2312" w:hAnsi="仿宋_GB2312" w:cs="仿宋_GB2312" w:eastAsia="仿宋_GB2312"/>
                <w:sz w:val="20"/>
              </w:rPr>
              <w:t>(市、区)级质量监督机构所监督的农村公路建设项目(县乡公路、安全生命防护工程等)工程实体、原材料等抽检试验。</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服务范围</w:t>
            </w:r>
          </w:p>
          <w:p>
            <w:pPr>
              <w:pStyle w:val="null3"/>
              <w:jc w:val="both"/>
            </w:pPr>
            <w:r>
              <w:rPr>
                <w:rFonts w:ascii="仿宋_GB2312" w:hAnsi="仿宋_GB2312" w:cs="仿宋_GB2312" w:eastAsia="仿宋_GB2312"/>
                <w:sz w:val="20"/>
              </w:rPr>
              <w:t>全市范围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服务标准</w:t>
            </w:r>
          </w:p>
          <w:p>
            <w:pPr>
              <w:pStyle w:val="null3"/>
              <w:jc w:val="both"/>
            </w:pPr>
            <w:r>
              <w:rPr>
                <w:rFonts w:ascii="仿宋_GB2312" w:hAnsi="仿宋_GB2312" w:cs="仿宋_GB2312" w:eastAsia="仿宋_GB2312"/>
                <w:sz w:val="20"/>
              </w:rPr>
              <w:t>执行的国家相关标准、行业标准、地方标准或者其他标准、规范，则统一执行最新标准、规范，达到合格标准。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服务效率</w:t>
            </w:r>
          </w:p>
          <w:p>
            <w:pPr>
              <w:pStyle w:val="null3"/>
              <w:jc w:val="both"/>
            </w:pPr>
            <w:r>
              <w:rPr>
                <w:rFonts w:ascii="仿宋_GB2312" w:hAnsi="仿宋_GB2312" w:cs="仿宋_GB2312" w:eastAsia="仿宋_GB2312"/>
                <w:sz w:val="20"/>
              </w:rPr>
              <w:t>在双方约定时间内保质高效完成工作任务。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成果要求</w:t>
            </w:r>
          </w:p>
          <w:p>
            <w:pPr>
              <w:pStyle w:val="null3"/>
              <w:jc w:val="both"/>
            </w:pPr>
            <w:r>
              <w:rPr>
                <w:rFonts w:ascii="仿宋_GB2312" w:hAnsi="仿宋_GB2312" w:cs="仿宋_GB2312" w:eastAsia="仿宋_GB2312"/>
                <w:sz w:val="20"/>
              </w:rPr>
              <w:t>按照国家相关技术标准和陕西省、渭南市具体要求，完成相关检测并出具报告。</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保密要求</w:t>
            </w:r>
          </w:p>
          <w:p>
            <w:pPr>
              <w:pStyle w:val="null3"/>
              <w:jc w:val="both"/>
            </w:pPr>
            <w:r>
              <w:rPr>
                <w:rFonts w:ascii="仿宋_GB2312" w:hAnsi="仿宋_GB2312" w:cs="仿宋_GB2312" w:eastAsia="仿宋_GB2312"/>
                <w:sz w:val="20"/>
              </w:rPr>
              <w:t>在项目实施过程中，对采购人所提供的所有相关资料、数据及分析数据和结果，未经采购人书面同意，不得向任何第三者涉露，且保密责任不因合同的终止或解除而失效。如采购人提出要求，成交人须无条件签订保密协议。项目完成后，成交人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需执行的国家相关标准、行业标准、地方标准或者其他标准、规范标准</w:t>
            </w:r>
          </w:p>
          <w:p>
            <w:pPr>
              <w:pStyle w:val="null3"/>
              <w:jc w:val="both"/>
            </w:pPr>
            <w:r>
              <w:rPr>
                <w:rFonts w:ascii="仿宋_GB2312" w:hAnsi="仿宋_GB2312" w:cs="仿宋_GB2312" w:eastAsia="仿宋_GB2312"/>
                <w:sz w:val="20"/>
              </w:rPr>
              <w:t>在服务过程中遵循以下标准，若有最新规范标准，以最新版为准。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B01—2014）《公路工程技术标准》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3450-2019）《公路路基路面现场测试规程》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F80/1-2017）《公路工程质量检验评定标准》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16311-2024）《道路交通标线质量要求和检测方法》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18833-2012）《道路交通反光膜》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23827-2021）《道路交通标志板及支撑件》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31439.1-2015）《波形梁钢护栏 第1部分：两波形梁钢护栏》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31439.2-2015）《波形梁钢护栏 第2部分：三波形梁钢护栏》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18226-2015）《公路交通工程钢构件防腐技术条件》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12334-2001）《金属和其他非有机覆盖层关于厚度测量的定义和一般规则》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JT/T 329-2025）《公路桥梁预应力钢绞线用锚具、夹具和连接器》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5224-2023）《预应力混凝土用钢绞线》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JT/T 4-2019）《公路桥梁板式橡胶支座》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JG/T 225-2020）《预应力混凝土用金属波纹管》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JTG/T 3650-2020）《公路桥涵施工技术规范》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JTG/T J21-01-2015）《公路桥梁荷载试验规程》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JTG/T J21-2011）《公路桥梁承载能力检测评定规程》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项目拟投入人员均需为本单位员工，并缴纳养老保险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项目拟投入人员均需为本单位员工，并缴纳养老保险</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1、系统业务功能建设模块要求完整、设计合理、科学。 2、系统平台运维服务，成交供应商负责平台总体的日常检查、维护。3、常规巡检要对问题及时发现、及时提交并处理。4、供应商向采购人提供全方位的技术服务，在项目实施的各个阶段中，项目工程师提供7*24小时的电话服务支持，接到用户电话后，在2小时内响应，24小时以内解决问题，以保障用户的正常使用。 5、系统验收完成后，需要对本项目提供详细的系统使用培训服务，提供详尽的培训方案及培训计划，并列出培训的具体内容及方式，确保使用人员能够独立熟练操作、维护和正常使用。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 4、供应商除提供成果文件外，还应负责协助采购人完成成果文件的评审、验收等工作。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1、质量标准:达到国家及行业验收合格标准，满足采购人要求。 2.所提供服务符合采购文件供应商承诺及采购合同约定的要求。 3.在运维期间内，项目中涉及的系统软件免费升级，需负责全部升级工作，以保证不影响系统的运行。不管是在保修期内还是保修期外，免费为采购人提供技术咨询服务，这其中包括：新技术咨询、配置调整、故障解决等。 4.本项目由采购人及相关部门对项目进行验收。 5.供应商承诺及采购合同约定的附件、工具、技术资料等齐全。 6.验收标准：按磋商文件、响应文件、项目交付情况等综合指标进行验收。各项指标均应符合验收标准及要求。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1、质量标准:达到国家及行业验收合格标准。 2、本项目由采购人及相关部门定期对项目进行阶段性验收，验收内容以报告和服务天数进行结算。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合同签订以后付合同价款的50%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项目完成最终验收支付合同金额的40%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验收一年后支付剩余10%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8月31日前将完成检测项目业务量及结算资料报采购人审核，采购人接到结算审核申请后7日内予以审核，并在审核完成后14日根据实际完成业务量进行支付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12月31日前将完成检测项目业务量及结算资料报采购人审核，采购人接到结算审核申请后7日内予以审核，并在审核完成后14日根据实际完成业务量进行支付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 采购包1：预算金额150000.00元。包括完成本次服务的所有内容，包括但不限于人工费、材料费、交通费、住宿费、管理费、税金、利润、风险以及采购文件规定的其他费用，服务期内采购人不再增加任何费用。 采购包2：预算金额250000.00元.报价方式为折扣率，报价包括但不限于项目调研费、现场踏勘费、人工费、材料费、交通费、住宿费、管理费、税金、利润、风险以及采购文件规定的其他费用，服务期内采购人不再增加任何费用。 结算以规定的价格×（1-折扣率）据实结算。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具有独立承担民事责任能力的企业法人、其他组织或自然人。</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磋商保证金缴纳凭证或投标担保函</w:t>
            </w:r>
          </w:p>
        </w:tc>
        <w:tc>
          <w:tcPr>
            <w:tcW w:type="dxa" w:w="3322"/>
          </w:tcPr>
          <w:p>
            <w:pPr>
              <w:pStyle w:val="null3"/>
            </w:pPr>
            <w:r>
              <w:rPr>
                <w:rFonts w:ascii="仿宋_GB2312" w:hAnsi="仿宋_GB2312" w:cs="仿宋_GB2312" w:eastAsia="仿宋_GB2312"/>
              </w:rPr>
              <w:t>提供磋商保证金缴纳凭证或投标担保函复印件、代理公司开具的保证金收据。</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具有独立承担民事责任能力的企业法人、其他组织或自然人。</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供应商须具备公路工程试验检测甲级资质；具备相关行政部门颁发的检验检测机构资质认定证书（CMA认证）。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须具有公路工程试验检测工程师证书和相关专业高级及以上技术职称。</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磋商保证金缴纳凭证或投标担保函</w:t>
            </w:r>
          </w:p>
        </w:tc>
        <w:tc>
          <w:tcPr>
            <w:tcW w:type="dxa" w:w="3322"/>
          </w:tcPr>
          <w:p>
            <w:pPr>
              <w:pStyle w:val="null3"/>
            </w:pPr>
            <w:r>
              <w:rPr>
                <w:rFonts w:ascii="仿宋_GB2312" w:hAnsi="仿宋_GB2312" w:cs="仿宋_GB2312" w:eastAsia="仿宋_GB2312"/>
              </w:rPr>
              <w:t>提供磋商保证金缴纳凭证或投标担保函复印件、代理公司开具的保证金收据。</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服务内容及服务邀请应答表 人员配备.docx 中小企业声明函 资格证明材料相关附件.docx 商务应答表 报价表 响应文件封面 残疾人福利性单位声明函 服务方案 业绩证明材料.docx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服务内容及服务邀请应答表 人员配备.docx 中小企业声明函 资格证明材料相关附件.docx 商务应答表 报价表 响应文件封面 残疾人福利性单位声明函 服务方案 业绩证明材料.docx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服务内容及服务邀请应答表 人员配备.docx 中小企业声明函 资格证明材料相关附件.docx 商务应答表 检测仪器设备情况.docx 报价表 响应文件封面 残疾人福利性单位声明函 服务方案 业绩证明材料.docx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服务内容及服务邀请应答表 人员配备.docx 中小企业声明函 资格证明材料相关附件.docx 商务应答表 检测仪器设备情况.docx 报价表 响应文件封面 残疾人福利性单位声明函 服务方案 业绩证明材料.docx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综合得分并列时，比较投标报价，此分项得分高者排序靠前；若投标报价得分仍相同，比较供应商技术部分得分，若该项得分还相同，由磋商小组无记名投票确定排名顺序。</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综合得分并列时，比较投标报价，此分项得分高者排序靠前；若投标报价得分仍相同，比较供应商技术部分得分，若该项得分还相同，由磋商小组无记名投票确定排名顺序。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供应商针对本项目有专业服务团队，人员配备合理、岗位职责明确，每提供一人得1分，满分4分；未提供不得分。 需提供人员社保缴纳证明材料。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每提供1个与本次采购内容所涉及产品或功能相关的计算机软件著作权证书得2分，最高得6分，不提供不得分。 需提供相关证明材料及中国版权保护中心网截图</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供应商2022年4月至今具有类似项目业绩。一个业绩得2分，最高得10分。 注：以合同签订时间为准。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提供针对本项目的实施方案，内容至少包括至少包括（1）项目实施进度、计划；（2）项目人员组织；（3）项目保障措施计划； 根据内容的完整性、合理性、针对性每小项得0-5分。满分15分。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提供针对本项目的技术方案，内容至少包括（1）技术路线； （2）开发方案；（3）系统架构；（4）软件调试；（5）试运行； 根据内容的完整性、合理性、针对性每小项得0-5分。满分25分。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内容至少包括（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 根据内容的完整性、合理性、针对性每小项得0-5分。满分15分。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最终磋商报价最低的为评标基准价得25分；其他供应商价格分按下列公式计算： 报价得分=评标基准价/最终磋商报价×25%×100。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具有类似项目业绩，每提供一个2022年4月至今业绩计2分，满分4分。 （提供相关证明材料及在本单位缴纳社保证明）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人员配备（投入本项目的其他主要人员）</w:t>
            </w:r>
          </w:p>
        </w:tc>
        <w:tc>
          <w:tcPr>
            <w:tcW w:type="dxa" w:w="2492"/>
          </w:tcPr>
          <w:p>
            <w:pPr>
              <w:pStyle w:val="null3"/>
            </w:pPr>
            <w:r>
              <w:rPr>
                <w:rFonts w:ascii="仿宋_GB2312" w:hAnsi="仿宋_GB2312" w:cs="仿宋_GB2312" w:eastAsia="仿宋_GB2312"/>
              </w:rPr>
              <w:t>每配备一名检测工程师得1分，每配备一名检测员得0.5分，最高得6分。（提供相关证明材料及在本单位缴纳社保证明）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供应商2022年4月至今具有类似项目业绩。一个业绩得2分，最高得10分。 注：以合同签订日期为准。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提供针对本项目的项目实施方案，内容至少包括①项目组织架构；②实施标准；③工作方法；④工作部署与进度安排；⑤技术报告编写。 根据内容的完整性、合理性、针对性每小项得0-5分。满分25分。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根据供应商拟投入的检测仪器设备情况进行赋分。根据提供设备配备合理性，先进性、安全性及稳定性计0-4分；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检测仪器设备情况.docx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提供针对本项目的重点、难点分析及解决措施，内容至少包括①重、难点分析；②风险点分析；③解决措施。 根据内容的完整性、合理性、针对性每小项得0-4分。满分12分。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提供针对本项目的保密措施，包含但不限于保密手段、人员保密管理、保密承诺等。 根据内容的完整性、合理性、针对性得0-5分。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应急预案、应急处理措施</w:t>
            </w:r>
          </w:p>
        </w:tc>
        <w:tc>
          <w:tcPr>
            <w:tcW w:type="dxa" w:w="2492"/>
          </w:tcPr>
          <w:p>
            <w:pPr>
              <w:pStyle w:val="null3"/>
            </w:pPr>
            <w:r>
              <w:rPr>
                <w:rFonts w:ascii="仿宋_GB2312" w:hAnsi="仿宋_GB2312" w:cs="仿宋_GB2312" w:eastAsia="仿宋_GB2312"/>
              </w:rPr>
              <w:t>根据本项目特点制定有效的应急预案、应急处理措施。 根据内容的完整性、合理性、针对性得0-5分。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根据承诺的可操作性、细节描述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最终磋商报价折扣率最大的为评标基准价折扣率得25分；其他供应商价格分按下列公式计算： 报价得分=[（1-评标基准价折扣率）/（1-折扣率）]×25%×100。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详见附件：检测仪器设备情况.docx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