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版本号：ZCSP-渭南市-2025-00276、XACH2025-028-0120250522001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屋面防水维修项目(二次)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ZCSP-渭南市-2025-00276、XACH2025-028-01</w:t>
      </w:r>
      <w:r>
        <w:br/>
      </w:r>
      <w:r>
        <w:br/>
      </w:r>
      <w:r>
        <w:br/>
      </w:r>
    </w:p>
    <w:p>
      <w:pPr>
        <w:pStyle w:val="null3"/>
        <w:jc w:val="center"/>
        <w:outlineLvl w:val="2"/>
      </w:pPr>
      <w:r>
        <w:rPr>
          <w:rFonts w:ascii="仿宋_GB2312" w:hAnsi="仿宋_GB2312" w:cs="仿宋_GB2312" w:eastAsia="仿宋_GB2312"/>
          <w:sz w:val="28"/>
          <w:b/>
        </w:rPr>
        <w:t>渭南职业技术学院</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渭南职业技术学院</w:t>
      </w:r>
      <w:r>
        <w:rPr>
          <w:rFonts w:ascii="仿宋_GB2312" w:hAnsi="仿宋_GB2312" w:cs="仿宋_GB2312" w:eastAsia="仿宋_GB2312"/>
        </w:rPr>
        <w:t>委托，拟对</w:t>
      </w:r>
      <w:r>
        <w:rPr>
          <w:rFonts w:ascii="仿宋_GB2312" w:hAnsi="仿宋_GB2312" w:cs="仿宋_GB2312" w:eastAsia="仿宋_GB2312"/>
        </w:rPr>
        <w:t>屋面防水维修项目(二次)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ZCSP-渭南市-2025-00276、XACH2025-028-01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屋面防水维修项目(二次)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高新校区师范楼、医学教学实训楼、公租房、总配电室屋面防水维修施工，包含原有屋面地砖层、防水层、找平层、保温层、找坡层等拆除及重新铺设施工，屋面管道修复，屋面钢制标语保护，建筑垃圾外运清理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采购包1（渭南职业技术学院屋面防水维修项目）：属于专门面向中小企业采购。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须提供法定代表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2023年度或2024年度财务审计报告或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6、资质证书：供应商须具有建筑工程施工总承包三级及以上资质，并提供有效的安全生产许可证；供应商需在项目电子化交易系统中按要求上传相应证明文件并进行电子签章。</w:t>
      </w:r>
    </w:p>
    <w:p>
      <w:pPr>
        <w:pStyle w:val="null3"/>
      </w:pPr>
      <w:r>
        <w:rPr>
          <w:rFonts w:ascii="仿宋_GB2312" w:hAnsi="仿宋_GB2312" w:cs="仿宋_GB2312" w:eastAsia="仿宋_GB2312"/>
        </w:rPr>
        <w:t>7、项目经理：项目经理须具备建筑工程专业二级及以上注册建造师资格,具有有效的安全生产考核合格证书（建安B证），且未担任其他在建工程项目的声明；供应商需在项目电子化交易系统中按要求上传相应证明文件并进行电子签章。</w:t>
      </w:r>
    </w:p>
    <w:p>
      <w:pPr>
        <w:pStyle w:val="null3"/>
      </w:pPr>
      <w:r>
        <w:rPr>
          <w:rFonts w:ascii="仿宋_GB2312" w:hAnsi="仿宋_GB2312" w:cs="仿宋_GB2312" w:eastAsia="仿宋_GB2312"/>
        </w:rPr>
        <w:t>8、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中小企业声明函：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10、磋商保证金：提供磋商保证金交纳凭证；供应商需在项目电子化交易系统中按要求上传相应证明文件并进行电子签章。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11、非联合体磋商：非联合体磋商声明;供应商需在项目电子化交易系统中按要求上传相应证明文件并进行电子签章。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渭南高新区胜利大街西段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0913-3033072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何小瑞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采购包1：2,061,500.00元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开户名称：西安辰和工程咨询有限公司</w:t>
            </w:r>
          </w:p>
          <w:p>
            <w:pPr>
              <w:pStyle w:val="null3"/>
            </w:pPr>
            <w:r>
              <w:rPr>
                <w:rFonts w:ascii="仿宋_GB2312" w:hAnsi="仿宋_GB2312" w:cs="仿宋_GB2312" w:eastAsia="仿宋_GB2312"/>
              </w:rPr>
              <w:t>开户银行：西安银行电子正街支行</w:t>
            </w:r>
          </w:p>
          <w:p>
            <w:pPr>
              <w:pStyle w:val="null3"/>
            </w:pPr>
            <w:r>
              <w:rPr>
                <w:rFonts w:ascii="仿宋_GB2312" w:hAnsi="仿宋_GB2312" w:cs="仿宋_GB2312" w:eastAsia="仿宋_GB2312"/>
              </w:rPr>
              <w:t>银行账号：1050 1158 0000 1008 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1.0%收取，100万-500万按0.7%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渭南职业技术学院</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符合国家、地方及行业合格标准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联系人：何小瑞</w:t>
      </w:r>
    </w:p>
    <w:p>
      <w:pPr>
        <w:pStyle w:val="null3"/>
      </w:pPr>
      <w:r>
        <w:rPr>
          <w:rFonts w:ascii="仿宋_GB2312" w:hAnsi="仿宋_GB2312" w:cs="仿宋_GB2312" w:eastAsia="仿宋_GB2312"/>
        </w:rPr>
        <w:t>联系电话：029-87563729</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2,061,500.00</w:t>
      </w:r>
    </w:p>
    <w:p>
      <w:pPr>
        <w:pStyle w:val="null3"/>
      </w:pPr>
      <w:r>
        <w:rPr>
          <w:rFonts w:ascii="仿宋_GB2312" w:hAnsi="仿宋_GB2312" w:cs="仿宋_GB2312" w:eastAsia="仿宋_GB2312"/>
        </w:rPr>
        <w:t>采购包最高限价（元）: 2,061,500.00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屋面防水</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2,061,500.00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标的名称：屋面防水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一、项目实施范围</w:t>
            </w:r>
          </w:p>
          <w:p>
            <w:pPr>
              <w:pStyle w:val="null3"/>
              <w:spacing w:before="75"/>
              <w:ind w:right="30"/>
              <w:jc w:val="both"/>
            </w:pPr>
            <w:r>
              <w:rPr>
                <w:rFonts w:ascii="仿宋_GB2312" w:hAnsi="仿宋_GB2312" w:cs="仿宋_GB2312" w:eastAsia="仿宋_GB2312"/>
                <w:sz w:val="24"/>
                <w:color w:val="000000"/>
              </w:rPr>
              <w:t>本项目为高新校区师范楼、医学教学实训楼、公租房、总配电室屋面防水维修施工。包含原有屋面地砖层、防水层、找平层、保温层、找坡层等拆除及重新铺设施工，屋面管道修复，屋面钢制标语保护，建筑垃圾外运清理等。</w:t>
            </w:r>
          </w:p>
          <w:p>
            <w:pPr>
              <w:pStyle w:val="null3"/>
              <w:spacing w:before="75"/>
              <w:ind w:right="30"/>
            </w:pPr>
            <w:r>
              <w:rPr>
                <w:rFonts w:ascii="仿宋_GB2312" w:hAnsi="仿宋_GB2312" w:cs="仿宋_GB2312" w:eastAsia="仿宋_GB2312"/>
                <w:sz w:val="24"/>
                <w:b/>
                <w:color w:val="000000"/>
              </w:rPr>
              <w:t>二、实施地点</w:t>
            </w:r>
            <w:r>
              <w:rPr>
                <w:rFonts w:ascii="仿宋_GB2312" w:hAnsi="仿宋_GB2312" w:cs="仿宋_GB2312" w:eastAsia="仿宋_GB2312"/>
                <w:sz w:val="24"/>
                <w:color w:val="000000"/>
              </w:rPr>
              <w:t>：采购人指定地点</w:t>
            </w:r>
          </w:p>
          <w:p>
            <w:pPr>
              <w:pStyle w:val="null3"/>
              <w:spacing w:before="75"/>
              <w:ind w:right="30"/>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、项目要求：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工程质量目标</w:t>
            </w:r>
            <w:r>
              <w:rPr>
                <w:rFonts w:ascii="仿宋_GB2312" w:hAnsi="仿宋_GB2312" w:cs="仿宋_GB2312" w:eastAsia="仿宋_GB2312"/>
                <w:sz w:val="24"/>
              </w:rPr>
              <w:t>:达到国家现行施工验收规范“合格”标准。</w:t>
            </w:r>
          </w:p>
          <w:p>
            <w:pPr>
              <w:pStyle w:val="null3"/>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文明施工</w:t>
            </w:r>
            <w:r>
              <w:rPr>
                <w:rFonts w:ascii="仿宋_GB2312" w:hAnsi="仿宋_GB2312" w:cs="仿宋_GB2312" w:eastAsia="仿宋_GB2312"/>
                <w:sz w:val="24"/>
              </w:rPr>
              <w:t>:安全文明施工工地。</w:t>
            </w:r>
          </w:p>
          <w:p>
            <w:pPr>
              <w:pStyle w:val="null3"/>
            </w:pP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工期及质保期</w:t>
            </w:r>
            <w:r>
              <w:rPr>
                <w:rFonts w:ascii="仿宋_GB2312" w:hAnsi="仿宋_GB2312" w:cs="仿宋_GB2312" w:eastAsia="仿宋_GB2312"/>
                <w:sz w:val="24"/>
                <w:b/>
              </w:rPr>
              <w:t>：</w:t>
            </w:r>
          </w:p>
          <w:p>
            <w:pPr>
              <w:pStyle w:val="null3"/>
            </w:pPr>
            <w:r>
              <w:rPr>
                <w:rFonts w:ascii="仿宋_GB2312" w:hAnsi="仿宋_GB2312" w:cs="仿宋_GB2312" w:eastAsia="仿宋_GB2312"/>
                <w:sz w:val="24"/>
              </w:rPr>
              <w:t>工期：自施工之日起</w:t>
            </w:r>
            <w:r>
              <w:rPr>
                <w:rFonts w:ascii="仿宋_GB2312" w:hAnsi="仿宋_GB2312" w:cs="仿宋_GB2312" w:eastAsia="仿宋_GB2312"/>
                <w:sz w:val="24"/>
              </w:rPr>
              <w:t>90天内完成约定项目</w:t>
            </w:r>
            <w:r>
              <w:rPr>
                <w:rFonts w:ascii="仿宋_GB2312" w:hAnsi="仿宋_GB2312" w:cs="仿宋_GB2312" w:eastAsia="仿宋_GB2312"/>
                <w:sz w:val="24"/>
              </w:rPr>
              <w:t>。</w:t>
            </w:r>
          </w:p>
          <w:p>
            <w:pPr>
              <w:pStyle w:val="null3"/>
            </w:pPr>
            <w:r>
              <w:rPr>
                <w:rFonts w:ascii="仿宋_GB2312" w:hAnsi="仿宋_GB2312" w:cs="仿宋_GB2312" w:eastAsia="仿宋_GB2312"/>
                <w:sz w:val="24"/>
              </w:rPr>
              <w:t>质保期</w:t>
            </w:r>
            <w:r>
              <w:rPr>
                <w:rFonts w:ascii="仿宋_GB2312" w:hAnsi="仿宋_GB2312" w:cs="仿宋_GB2312" w:eastAsia="仿宋_GB2312"/>
                <w:sz w:val="24"/>
              </w:rPr>
              <w:t>：自工程</w:t>
            </w:r>
            <w:r>
              <w:rPr>
                <w:rFonts w:ascii="仿宋_GB2312" w:hAnsi="仿宋_GB2312" w:cs="仿宋_GB2312" w:eastAsia="仿宋_GB2312"/>
                <w:sz w:val="24"/>
              </w:rPr>
              <w:t>竣工</w:t>
            </w:r>
            <w:r>
              <w:rPr>
                <w:rFonts w:ascii="仿宋_GB2312" w:hAnsi="仿宋_GB2312" w:cs="仿宋_GB2312" w:eastAsia="仿宋_GB2312"/>
                <w:sz w:val="24"/>
              </w:rPr>
              <w:t>验收合格之日起</w:t>
            </w:r>
            <w:r>
              <w:rPr>
                <w:rFonts w:ascii="仿宋_GB2312" w:hAnsi="仿宋_GB2312" w:cs="仿宋_GB2312" w:eastAsia="仿宋_GB2312"/>
                <w:sz w:val="24"/>
              </w:rPr>
              <w:t>五</w:t>
            </w:r>
            <w:r>
              <w:rPr>
                <w:rFonts w:ascii="仿宋_GB2312" w:hAnsi="仿宋_GB2312" w:cs="仿宋_GB2312" w:eastAsia="仿宋_GB2312"/>
                <w:sz w:val="24"/>
              </w:rPr>
              <w:t>年。</w:t>
            </w:r>
          </w:p>
          <w:p>
            <w:pPr>
              <w:pStyle w:val="null3"/>
            </w:pPr>
            <w:r>
              <w:rPr>
                <w:rFonts w:ascii="仿宋_GB2312" w:hAnsi="仿宋_GB2312" w:cs="仿宋_GB2312" w:eastAsia="仿宋_GB2312"/>
                <w:sz w:val="24"/>
                <w:b/>
              </w:rPr>
              <w:t>五</w:t>
            </w:r>
            <w:r>
              <w:rPr>
                <w:rFonts w:ascii="仿宋_GB2312" w:hAnsi="仿宋_GB2312" w:cs="仿宋_GB2312" w:eastAsia="仿宋_GB2312"/>
                <w:sz w:val="24"/>
                <w:b/>
              </w:rPr>
              <w:t>、安全要求</w:t>
            </w:r>
          </w:p>
          <w:p>
            <w:pPr>
              <w:pStyle w:val="null3"/>
            </w:pPr>
            <w:r>
              <w:rPr>
                <w:rFonts w:ascii="仿宋_GB2312" w:hAnsi="仿宋_GB2312" w:cs="仿宋_GB2312" w:eastAsia="仿宋_GB2312"/>
                <w:sz w:val="24"/>
              </w:rPr>
              <w:t>遵守工程建设安全生产有关管理规定，严格按安全标准组织施工，采取必要的安全生产措施，消除事故隐患。安全措施不力造成事故责任和发生的费用由成交供应商承担。</w:t>
            </w:r>
          </w:p>
          <w:p>
            <w:pPr>
              <w:pStyle w:val="null3"/>
            </w:pPr>
            <w:r>
              <w:rPr>
                <w:rFonts w:ascii="仿宋_GB2312" w:hAnsi="仿宋_GB2312" w:cs="仿宋_GB2312" w:eastAsia="仿宋_GB2312"/>
                <w:sz w:val="24"/>
                <w:b/>
              </w:rPr>
              <w:t>六</w:t>
            </w:r>
            <w:r>
              <w:rPr>
                <w:rFonts w:ascii="仿宋_GB2312" w:hAnsi="仿宋_GB2312" w:cs="仿宋_GB2312" w:eastAsia="仿宋_GB2312"/>
                <w:sz w:val="24"/>
                <w:b/>
              </w:rPr>
              <w:t>、工程施工基本要求</w:t>
            </w:r>
          </w:p>
          <w:p>
            <w:pPr>
              <w:pStyle w:val="null3"/>
            </w:pPr>
            <w:r>
              <w:rPr>
                <w:rFonts w:ascii="仿宋_GB2312" w:hAnsi="仿宋_GB2312" w:cs="仿宋_GB2312" w:eastAsia="仿宋_GB2312"/>
                <w:sz w:val="24"/>
                <w:color w:val="000000"/>
              </w:rPr>
              <w:t>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装饰装修工程质量验收标准（GB50210-2018）、屋面工程质量验收规范（GB50207-2012）、建筑工程施工质量验收统一标准（GB50300-2013）、建设工程文件归档规范（GB/T50328-2014）、建筑施工安全检查标准（JGJ59-2011），未详尽处应满足国家有关规范和规定，所有的规范执行最高规定。如有最新的法律法规、技术规范发布，按最新的文件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3.3.1付款方式及依据： ①付款方式：项目整体竣工经采购人验收合格后据实结算，一次性支付所有价款。 ②付款依据：采购人出具的验收报告、工程量确认单、供应商提供的等额发票等。 3.3.2本项目磋商总报价为完成本项目磋商文件中所提出的工作范围及要求的全部内容，并达到国家及采购人验收标准而产生的所有费用，磋商报价包括但不限于以下内容：包括人工费、材料费、机械费、措施费、管理费、利润、规费、税金、风险、工程保险费、招标代理服务费、防污治霾费等完成本项目所产生的一切费用。任何错报、漏报由供应商自行负责。 3.3.3清单编制依据：《陕西省建筑装饰、安装、市政、园林绿化工程消耗量定额2004》及其补充定额、《陕西省建筑装饰、安装、市政、园林绿化工程工程价目表2009》及相关政策性文件。 3.3.4广联达计价软件版本号：GCCP6.4100.23.122。 3.3.5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 【采购标的对应的中小企业划分标准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法定代表人授权委托书（附法定代表人身份证复印件）及被授权委托人身份证（法定代表人参加磋商须提供法定代表人身份证）；供应商需在项目电子化交易系统中按要求上传相应证明文件并进行电子签章。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提供2023年度或2024年度财务审计报告或磋商前3个月内供应商基本账户银行出具的资信证明；供应商需在项目电子化交易系统中按要求上传相应证明文件并进行电子签章。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供应商须具有建筑工程施工总承包三级及以上资质，并提供有效的安全生产许可证；供应商需在项目电子化交易系统中按要求上传相应证明文件并进行电子签章。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备建筑工程专业二级及以上注册建造师资格,具有有效的安全生产考核合格证书（建安B证），且未担任其他在建工程项目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承诺书.docx 业绩证明文件.docx 资格证明文件.docx 响应文件封面 残疾人福利性单位声明函 报价函 标的清单 响应函 监狱企业的证明文件 磋商保证金退还信息表.docx 技术标.docx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响应文件有磋商响应有效期且响应有效期达到磋商文件的要求；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供应商针对同一工程及服务未递交两份或多份内容不同的响应文件，未出现选择性报价；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报价一览表.docx 已标价工程量清单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报价一览表.docx 报价函 技术服务合同条款及其他商务要求应答表 标的清单 业绩证明文件.docx 技术标.docx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承诺书.docx 业绩证明文件.docx 资格证明文件.docx 响应文件封面 残疾人福利性单位声明函 报价函 标的清单 响应函 监狱企业的证明文件 磋商保证金退还信息表.docx 技术标.docx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符合磋商文件规定的其他实质性要求的</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承诺书.docx 业绩证明文件.docx 资格证明文件.docx 响应文件封面 残疾人福利性单位声明函 报价函 标的清单 响应函 监狱企业的证明文件 磋商保证金退还信息表.docx 技术标.docx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承诺书.docx 业绩证明文件.docx 资格证明文件.docx 响应文件封面 残疾人福利性单位声明函 报价函 标的清单 响应函 监狱企业的证明文件 磋商保证金退还信息表.docx 技术标.docx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方案总体思路清晰、合理、可操作性强、可执行程度强，且能很好推动项目实施得7～10(含)分；方案总体思路基本明确、可行性、合理性高得3～7(含)分；方案思路模糊、可行性、合理性一般得0～3(含)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项目经理部组成及劳动力投入，人员搭配合理，数量充足，经验丰富，证明材料详尽计4～7（含）分，人员搭配较为合理，数量较充足，经验不足，证明材料不够详尽计0～4（含）分，本项满分7分；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施工机械及工器具的配备情况</w:t>
            </w:r>
          </w:p>
        </w:tc>
        <w:tc>
          <w:tcPr>
            <w:tcW w:type="dxa" w:w="2492"/>
          </w:tcPr>
          <w:p>
            <w:pPr>
              <w:pStyle w:val="null3"/>
            </w:pPr>
            <w:r>
              <w:rPr>
                <w:rFonts w:ascii="仿宋_GB2312" w:hAnsi="仿宋_GB2312" w:cs="仿宋_GB2312" w:eastAsia="仿宋_GB2312"/>
              </w:rPr>
              <w:t>施工机械及工器具的配备情况，机械、设备安排合理、完整计4～7（含）分，机械、设备安排简单计0～4（含）分，本项满分7分；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确保本项目质量的技术组织措施，措施内容科学可行、有针对性且内容详细计4～7（含）分，措施内容较为可行、针对性不强、内容简单计0～4（含）分，本项满分7分；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确保治污减霾和防尘污染的技术组织措施，措施内容科学可行、有针对性，根据响应程度计0～4分，本项满分4分；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确保安全生产和文明施工的技术组织措施，措施内容科学可行、有针对性且内容详细计2～5（含）分，措施内容较为可行、针对性不强、内容简单计0～2（含）分，本项满分5分；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确保工期的技术组织措施，措施内容科学可行、有针对性且内容详细计4～7（含）分，措施内容较为可行、针对性不强、内容简单计0～4（含）分，本项满分7分；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针对本项目的应急预案措施，措施内容科学可行，有针对性，根据响应程度计0～4分，本项满分4分。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提供供应商2022年以来类似项目业绩合同（以合同签订时间为准），每份计3分，满分9分。（注：以上证明文件在磋商响应文件中附业绩合同扫描件并加盖公章）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详见附件：磋商保证金退还信息表.docx</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