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版本号：TZWN2025-009.120250523001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渭南市农村供水高质量发展规划社会稳定风险评估报告编制项目(二次)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TZWN2025-009.1</w:t>
      </w:r>
      <w:r>
        <w:br/>
      </w:r>
      <w:r>
        <w:br/>
      </w:r>
      <w:r>
        <w:br/>
      </w:r>
    </w:p>
    <w:p>
      <w:pPr>
        <w:pStyle w:val="null3"/>
        <w:jc w:val="center"/>
        <w:outlineLvl w:val="2"/>
      </w:pPr>
      <w:r>
        <w:rPr>
          <w:rFonts w:ascii="仿宋_GB2312" w:hAnsi="仿宋_GB2312" w:cs="仿宋_GB2312" w:eastAsia="仿宋_GB2312"/>
          <w:sz w:val="28"/>
          <w:b/>
        </w:rPr>
        <w:t>渭南市水务局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渭南市水务局</w:t>
      </w:r>
      <w:r>
        <w:rPr>
          <w:rFonts w:ascii="仿宋_GB2312" w:hAnsi="仿宋_GB2312" w:cs="仿宋_GB2312" w:eastAsia="仿宋_GB2312"/>
        </w:rPr>
        <w:t>委托，拟对</w:t>
      </w:r>
      <w:r>
        <w:rPr>
          <w:rFonts w:ascii="仿宋_GB2312" w:hAnsi="仿宋_GB2312" w:cs="仿宋_GB2312" w:eastAsia="仿宋_GB2312"/>
        </w:rPr>
        <w:t>渭南市农村供水高质量发展规划社会稳定风险评估报告编制项目(二次)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TZWN2025-009.1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渭南市农村供水高质量发展规划社会稳定风险评估报告编制项目(二次)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渭南市农村供水高质量发展规划社会稳定风险评估报告编制项目，详见竞争性磋商文件。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采购包1（渭南市农村供水高质量发展规划社会稳定风险评估报告编制项目）：属于专门面向中小企业采购。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1、供应商基本情况：供应商应具备独立承担民事责任的能力：提供法人或者其他组织的营业执照等证明文件，自然人的身份证明。</w:t>
      </w:r>
    </w:p>
    <w:p>
      <w:pPr>
        <w:pStyle w:val="null3"/>
      </w:pPr>
      <w:r>
        <w:rPr>
          <w:rFonts w:ascii="仿宋_GB2312" w:hAnsi="仿宋_GB2312" w:cs="仿宋_GB2312" w:eastAsia="仿宋_GB2312"/>
        </w:rPr>
        <w:t>2、法人证明或法人授权委托书：提供法定代表人授权委托书（附法定代表人、被授权人身份证复印件）及被授权人身份证原件（法定代表人直接参加投标，须提供法定代表人身份证明及身份证原件）。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具有财务审计资质单位出具的2023年度或2024年度财务报告（成立时间至开标时间不足一年的可提供成立后任意时段的资产负债表）或2024年11月1日至今其基本账户银行出具的资信证明或政府采购信用担保机构出具的担保函</w:t>
      </w:r>
    </w:p>
    <w:p>
      <w:pPr>
        <w:pStyle w:val="null3"/>
      </w:pPr>
      <w:r>
        <w:rPr>
          <w:rFonts w:ascii="仿宋_GB2312" w:hAnsi="仿宋_GB2312" w:cs="仿宋_GB2312" w:eastAsia="仿宋_GB2312"/>
        </w:rPr>
        <w:t>4、合同履约能力：提供具有履行合同所必需的设备和专业技术能力的承诺</w:t>
      </w:r>
    </w:p>
    <w:p>
      <w:pPr>
        <w:pStyle w:val="null3"/>
      </w:pPr>
      <w:r>
        <w:rPr>
          <w:rFonts w:ascii="仿宋_GB2312" w:hAnsi="仿宋_GB2312" w:cs="仿宋_GB2312" w:eastAsia="仿宋_GB2312"/>
        </w:rPr>
        <w:t>5、税收及社会保障资金缴纳证明：有依法缴纳税收和社会保障资金的良好记录：提供2024年6月份至今任意一个月依法缴纳税收和社会保障资金的相关材料。</w:t>
      </w:r>
    </w:p>
    <w:p>
      <w:pPr>
        <w:pStyle w:val="null3"/>
      </w:pPr>
      <w:r>
        <w:rPr>
          <w:rFonts w:ascii="仿宋_GB2312" w:hAnsi="仿宋_GB2312" w:cs="仿宋_GB2312" w:eastAsia="仿宋_GB2312"/>
        </w:rPr>
        <w:t>6、没有重大违法记录的书面说明：参加政府采购活动前3年内，在经营活动中没有重大违法记录的书面声明。</w:t>
      </w:r>
    </w:p>
    <w:p>
      <w:pPr>
        <w:pStyle w:val="null3"/>
      </w:pPr>
      <w:r>
        <w:rPr>
          <w:rFonts w:ascii="仿宋_GB2312" w:hAnsi="仿宋_GB2312" w:cs="仿宋_GB2312" w:eastAsia="仿宋_GB2312"/>
        </w:rPr>
        <w:t>7、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8、供应商企业关系关联承诺书：供应商单位负责人为同一人或者存在直接控股、管理关系的不同供应商，不得参加同一合同项下的政府采购活动。</w:t>
      </w:r>
    </w:p>
    <w:p>
      <w:pPr>
        <w:pStyle w:val="null3"/>
      </w:pPr>
      <w:r>
        <w:rPr>
          <w:rFonts w:ascii="仿宋_GB2312" w:hAnsi="仿宋_GB2312" w:cs="仿宋_GB2312" w:eastAsia="仿宋_GB2312"/>
        </w:rPr>
        <w:t>9、供应商资质：供应商须具备水利行业引调水专业工程设计乙级（含乙级）以上资质</w:t>
      </w:r>
    </w:p>
    <w:p>
      <w:pPr>
        <w:pStyle w:val="null3"/>
      </w:pPr>
      <w:r>
        <w:rPr>
          <w:rFonts w:ascii="仿宋_GB2312" w:hAnsi="仿宋_GB2312" w:cs="仿宋_GB2312" w:eastAsia="仿宋_GB2312"/>
        </w:rPr>
        <w:t>10、项目负责人资质：项目负责人需具有水利相关专业高级职称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渭南市临渭区东风大街西段城市理想二号楼一楼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在领取成交通知书时支付代理服务费，代理服务费参照《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不足5000的按5000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渭南市水务局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联系人：招标部</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地址：渭南市临渭区东风大街西段城市理想二号楼一楼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渭南市农村供水高质量发展规划社会稳定风险评估报告编制项目，详见竞争性磋商文件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渭南市农村供水高质量发展规划社会稳定风险评估报告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标的名称：渭南市农村供水高质量发展规划社会稳定风险评估报告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服务包括但不限于按照《渭南市农村供水高质量发展规划》涉及到的建设工程覆盖范围内抽取不少于30%的街镇进行走访调研、分析论证可能存在的社会稳定风险；对《渭南市农村供水高质量发展规划》涉及到的水利工程项目建设进度、工程质量、技术指标参数等进行核查；完成《重大决策社会稳定风险评估报告》、《重大行政决策风险评估报告》的资料收集、调查，专家论证、咨询，形成最终通过审查的报告等相关工作，并承担由此产生的一切相关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乙方向甲方提交符合国家规定的票据</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供应商应具备独立承担民事责任的能力：提供法人或者其他组织的营业执照等证明文件，自然人的身份证明。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2024年11月1日至今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税收及社会保障资金缴纳证明</w:t>
            </w:r>
          </w:p>
        </w:tc>
        <w:tc>
          <w:tcPr>
            <w:tcW w:type="dxa" w:w="3322"/>
          </w:tcPr>
          <w:p>
            <w:pPr>
              <w:pStyle w:val="null3"/>
            </w:pPr>
            <w:r>
              <w:rPr>
                <w:rFonts w:ascii="仿宋_GB2312" w:hAnsi="仿宋_GB2312" w:cs="仿宋_GB2312" w:eastAsia="仿宋_GB2312"/>
              </w:rPr>
              <w:t>有依法缴纳税收和社会保障资金的良好记录：提供2024年6月份至今任意一个月依法缴纳税收和社会保障资金的相关材料。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供应商单位负责人为同一人或者存在直接控股、管理关系的不同供应商，不得参加同一合同项下的政府采购活动。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供应商须具备水利行业引调水专业工程设计乙级（含乙级）以上资质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项目负责人需具有水利相关专业高级职称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合同签订后30天内完成</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投标内容未出现漏项或服务与要求不符</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1.供应商针对本项目提供整体服务方案，按其响应程度计0-5分； 2.供应商针对本项目提供各岗位员工作职责，按其响应程度计0-5分； 3.供应商针对本项目提供岗位安排的科学、合理性，按其响应程度计0-5分； 4.供应商针对本项目提供内部工作监督机制，对员工的考核评价机制，按其响应程度计0-5分； 5.供应商针对本项目提供对项目背景、动作目的的认识和理解程度，按其响应程度计0-5分； 6.供应商针对本项目提供沟通协调机制，具有完善的沟通管理体系、健全的管理制度，按其响应程度计0-5分； 7.供应商针对本项目提供合理化建议，按其响应程度计0-5分； 8.根据供应商针对本项目提供的服务流程的完整性、业务分工的清晰程度、工作实施的可行性等内容，按其响应程度计0-5分。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1.针对本项目提供报告编制的周期保障措施，根据迅速响应合理性，按其响应程度计0-5分； 2.针对本项目提供报告编制的质量保障措施，根据科学、可行、合理性，按其响应程度计0-5分； 3.针对本项目提供报告编制的廉洁及保密保证措施、防控措施，根据合理性、操作性、针对性等方面，按其响应程度计0-5分； 4.针对本项目提供报告编制的重点、难点及解决措施、进度安排及保障措施，根据合理性、操作性、针对性等方面，按其响应程度计0-5分； 5.供应商具有规范和完善的人事管理制度、财务管理制度、质量控制制度、业务管理制度、业务档案管理制度、继续教育制度，按其响应程度计0-5分。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根据供应商针对本项目人员配备情况，项目组成人员资质优良，结合学历水平、专业证书、从业年限、工作经验等因素，按其响应程度计0-5分。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供应商提供2022年4月至今具有类似项目业绩，每个业绩得2分，共10分。（提供业绩合同原件备查，以合同签订时间为准）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1.满足磋商文件实质性要求且最终报价最低的供应商的价格为磋商基准价，其价格分为满分20分。 2.磋商报价得分=（磋商基准价/最终磋商报价）×20的公式计算得分。 3.磋商报价不完整的，不进入评标标准价的计算，本项得0分。 4.经评磋商小组一致认定，超过预算金额,其响应将被拒绝。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