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版本号：ZCSP-渭南市-2025-00342、SCZB2025-CS-0971-120250527001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工程设计服务项目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ZCSP-渭南市-2025-00342、SCZB2025-CS-0971-1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工程设计服务项目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ZCSP-渭南市-2025-00342、SCZB2025-CS-0971-1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工程设计服务项目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对渭南市中心医院医疗建筑（包含不限于零星工程）的升级改造进行咨询、设计及后续服务，以满足国家相关规范的要求。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采购包1（工程设计服务项目）：属于专门面向中小企业采购。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2、资质要求：供应商须具备建设主管部门颁发的【工程设计综合甲级资质】或【建筑行业工程设计乙级】及以上资质或【建筑行业（建筑工程）专业设计乙级】及以上资质</w:t>
      </w:r>
    </w:p>
    <w:p>
      <w:pPr>
        <w:pStyle w:val="null3"/>
      </w:pPr>
      <w:r>
        <w:rPr>
          <w:rFonts w:ascii="仿宋_GB2312" w:hAnsi="仿宋_GB2312" w:cs="仿宋_GB2312" w:eastAsia="仿宋_GB2312"/>
        </w:rPr>
        <w:t>3、拟派项目负责人：供应商拟派项目负责人须具备二级及以上注册建筑师或注册电气工程师执业资格，且在本单位注册。</w:t>
      </w:r>
    </w:p>
    <w:p>
      <w:pPr>
        <w:pStyle w:val="null3"/>
      </w:pPr>
      <w:r>
        <w:rPr>
          <w:rFonts w:ascii="仿宋_GB2312" w:hAnsi="仿宋_GB2312" w:cs="仿宋_GB2312" w:eastAsia="仿宋_GB2312"/>
        </w:rPr>
        <w:t>4、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5、投标人单位负责人为同一人或者存在直接控股、管理关系的不同投标人，不得同时参加本次采购活动：投标人单位负责人为同一人或者 存在直接控股、管理关系的不同投标人，不得同时参加本次采购活动。</w:t>
      </w:r>
    </w:p>
    <w:p>
      <w:pPr>
        <w:pStyle w:val="null3"/>
      </w:pPr>
      <w:r>
        <w:rPr>
          <w:rFonts w:ascii="仿宋_GB2312" w:hAnsi="仿宋_GB2312" w:cs="仿宋_GB2312" w:eastAsia="仿宋_GB2312"/>
        </w:rPr>
        <w:t>6、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7、非联合体：本项目不接受联合体磋商，不允许分包。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代理服务费收费标准：参照原国家计委计价格【2002】1980号文和国家发改委发改办价格【2003】857号文的计算方法（按采购包）收取。中标单位的招标代理服务费缴纳信息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对渭南市中心医院医疗建筑（包含不限于零星工程）的升级改造进行咨询、设计及后续服务，以满足国家相关规范的要求。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1,178,000.00</w:t>
      </w:r>
    </w:p>
    <w:p>
      <w:pPr>
        <w:pStyle w:val="null3"/>
      </w:pPr>
      <w:r>
        <w:rPr>
          <w:rFonts w:ascii="仿宋_GB2312" w:hAnsi="仿宋_GB2312" w:cs="仿宋_GB2312" w:eastAsia="仿宋_GB2312"/>
        </w:rPr>
        <w:t>采购包最高限价（元）: 1,178,000.00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工程设计服务项目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标的名称：工程设计服务项目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一、总体要求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）本次采购工程咨询、</w:t>
            </w:r>
            <w:r>
              <w:rPr>
                <w:rFonts w:ascii="仿宋_GB2312" w:hAnsi="仿宋_GB2312" w:cs="仿宋_GB2312" w:eastAsia="仿宋_GB2312"/>
                <w:sz w:val="20"/>
              </w:rPr>
              <w:t>概算、</w:t>
            </w:r>
            <w:r>
              <w:rPr>
                <w:rFonts w:ascii="仿宋_GB2312" w:hAnsi="仿宋_GB2312" w:cs="仿宋_GB2312" w:eastAsia="仿宋_GB2312"/>
                <w:sz w:val="20"/>
              </w:rPr>
              <w:t>设计须严格遵循医院医疗建筑的文件要求，并符合国家及有关部委、陕西省、渭南市现行工程设计标准、规范、规定（若文件标准之间存在冲突，应以标准等级较高者为准）。在合同履行期间，若相关标准或规范发生修订或新版发布，须按照新标准执行。</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）设计要深入调查、充分考虑就诊环境、掌握医院的发展规律与模式，具有创意新颖、理念超前、格调明快、技术先进、布局合理的鲜明特点。</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）设计内容需结合医院历史文化，体现医院特有的个性环境理念和文化内涵。</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）充分考虑医院环境及建筑的生态节能设计。</w:t>
            </w:r>
          </w:p>
          <w:p>
            <w:pPr>
              <w:pStyle w:val="null3"/>
            </w:pPr>
            <w:r>
              <w:rPr>
                <w:rFonts w:ascii="仿宋_GB2312" w:hAnsi="仿宋_GB2312" w:cs="仿宋_GB2312" w:eastAsia="仿宋_GB2312"/>
                <w:sz w:val="20"/>
              </w:rPr>
              <w:t>二、采购内容</w:t>
            </w:r>
          </w:p>
          <w:p>
            <w:pPr>
              <w:pStyle w:val="null3"/>
            </w:pPr>
            <w:r>
              <w:rPr>
                <w:rFonts w:ascii="仿宋_GB2312" w:hAnsi="仿宋_GB2312" w:cs="仿宋_GB2312" w:eastAsia="仿宋_GB2312"/>
                <w:sz w:val="20"/>
              </w:rPr>
              <w:t>对渭南市中心医院医疗建筑（包含但不限于零星工程）的升级改造进行咨询、</w:t>
            </w:r>
            <w:r>
              <w:rPr>
                <w:rFonts w:ascii="仿宋_GB2312" w:hAnsi="仿宋_GB2312" w:cs="仿宋_GB2312" w:eastAsia="仿宋_GB2312"/>
                <w:sz w:val="20"/>
              </w:rPr>
              <w:t>概算、</w:t>
            </w:r>
            <w:r>
              <w:rPr>
                <w:rFonts w:ascii="仿宋_GB2312" w:hAnsi="仿宋_GB2312" w:cs="仿宋_GB2312" w:eastAsia="仿宋_GB2312"/>
                <w:sz w:val="20"/>
              </w:rPr>
              <w:t>设计及后续</w:t>
            </w:r>
            <w:r>
              <w:rPr>
                <w:rFonts w:ascii="仿宋_GB2312" w:hAnsi="仿宋_GB2312" w:cs="仿宋_GB2312" w:eastAsia="仿宋_GB2312"/>
                <w:sz w:val="20"/>
              </w:rPr>
              <w:t>设计技术服务、施工技术</w:t>
            </w:r>
            <w:r>
              <w:rPr>
                <w:rFonts w:ascii="仿宋_GB2312" w:hAnsi="仿宋_GB2312" w:cs="仿宋_GB2312" w:eastAsia="仿宋_GB2312"/>
                <w:sz w:val="20"/>
              </w:rPr>
              <w:t>服务</w:t>
            </w:r>
            <w:r>
              <w:rPr>
                <w:rFonts w:ascii="仿宋_GB2312" w:hAnsi="仿宋_GB2312" w:cs="仿宋_GB2312" w:eastAsia="仿宋_GB2312"/>
                <w:sz w:val="20"/>
              </w:rPr>
              <w:t>，以满足国家相关规范的要求。</w:t>
            </w:r>
          </w:p>
          <w:p>
            <w:pPr>
              <w:pStyle w:val="null3"/>
            </w:pPr>
            <w:r>
              <w:rPr>
                <w:rFonts w:ascii="仿宋_GB2312" w:hAnsi="仿宋_GB2312" w:cs="仿宋_GB2312" w:eastAsia="仿宋_GB2312"/>
                <w:sz w:val="20"/>
              </w:rPr>
              <w:t>三、服务期限</w:t>
            </w:r>
          </w:p>
          <w:p>
            <w:pPr>
              <w:pStyle w:val="null3"/>
            </w:pPr>
            <w:r>
              <w:rPr>
                <w:rFonts w:ascii="仿宋_GB2312" w:hAnsi="仿宋_GB2312" w:cs="仿宋_GB2312" w:eastAsia="仿宋_GB2312"/>
                <w:sz w:val="20"/>
              </w:rPr>
              <w:t>合同签订生效后两年</w:t>
            </w:r>
            <w:r>
              <w:rPr>
                <w:rFonts w:ascii="仿宋_GB2312" w:hAnsi="仿宋_GB2312" w:cs="仿宋_GB2312" w:eastAsia="仿宋_GB2312"/>
                <w:sz w:val="20"/>
              </w:rPr>
              <w:t>。</w:t>
            </w:r>
          </w:p>
          <w:p>
            <w:pPr>
              <w:pStyle w:val="null3"/>
            </w:pPr>
            <w:r>
              <w:rPr>
                <w:rFonts w:ascii="仿宋_GB2312" w:hAnsi="仿宋_GB2312" w:cs="仿宋_GB2312" w:eastAsia="仿宋_GB2312"/>
                <w:sz w:val="20"/>
              </w:rPr>
              <w:t>四、设计依据</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综合医院建筑设计标准</w:t>
            </w:r>
            <w:r>
              <w:rPr>
                <w:rFonts w:ascii="仿宋_GB2312" w:hAnsi="仿宋_GB2312" w:cs="仿宋_GB2312" w:eastAsia="仿宋_GB2312"/>
                <w:sz w:val="20"/>
              </w:rPr>
              <w:t>》</w:t>
            </w:r>
            <w:r>
              <w:rPr>
                <w:rFonts w:ascii="仿宋_GB2312" w:hAnsi="仿宋_GB2312" w:cs="仿宋_GB2312" w:eastAsia="仿宋_GB2312"/>
                <w:sz w:val="20"/>
              </w:rPr>
              <w:t>GB51039-2014(2024</w:t>
            </w:r>
            <w:r>
              <w:rPr>
                <w:rFonts w:ascii="仿宋_GB2312" w:hAnsi="仿宋_GB2312" w:cs="仿宋_GB2312" w:eastAsia="仿宋_GB2312"/>
                <w:sz w:val="20"/>
              </w:rPr>
              <w:t>年版</w:t>
            </w:r>
            <w:r>
              <w:rPr>
                <w:rFonts w:ascii="仿宋_GB2312" w:hAnsi="仿宋_GB2312" w:cs="仿宋_GB2312" w:eastAsia="仿宋_GB2312"/>
                <w:sz w:val="20"/>
              </w:rPr>
              <w:t>)</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建筑防火通用规范</w:t>
            </w:r>
            <w:r>
              <w:rPr>
                <w:rFonts w:ascii="仿宋_GB2312" w:hAnsi="仿宋_GB2312" w:cs="仿宋_GB2312" w:eastAsia="仿宋_GB2312"/>
                <w:sz w:val="20"/>
              </w:rPr>
              <w:t>》</w:t>
            </w:r>
            <w:r>
              <w:rPr>
                <w:rFonts w:ascii="仿宋_GB2312" w:hAnsi="仿宋_GB2312" w:cs="仿宋_GB2312" w:eastAsia="仿宋_GB2312"/>
                <w:sz w:val="20"/>
              </w:rPr>
              <w:t>GB55037-2022</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《火灾自动报警系统设计规范》GB50116-2013；</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《建筑设计防火规范》GB50016-2014(2018年版)；</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）《医院电力系统消防安全管理标准》（</w:t>
            </w:r>
            <w:r>
              <w:rPr>
                <w:rFonts w:ascii="仿宋_GB2312" w:hAnsi="仿宋_GB2312" w:cs="仿宋_GB2312" w:eastAsia="仿宋_GB2312"/>
                <w:sz w:val="20"/>
              </w:rPr>
              <w:t>WS/T 820-2023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）《医院建筑绿色改造技术规程》（</w:t>
            </w:r>
            <w:r>
              <w:rPr>
                <w:rFonts w:ascii="仿宋_GB2312" w:hAnsi="仿宋_GB2312" w:cs="仿宋_GB2312" w:eastAsia="仿宋_GB2312"/>
                <w:sz w:val="20"/>
              </w:rPr>
              <w:t>T/CECS 609-2019</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）《建筑抗震设计标准》（</w:t>
            </w:r>
            <w:r>
              <w:rPr>
                <w:rFonts w:ascii="仿宋_GB2312" w:hAnsi="仿宋_GB2312" w:cs="仿宋_GB2312" w:eastAsia="仿宋_GB2312"/>
                <w:sz w:val="20"/>
              </w:rPr>
              <w:t xml:space="preserve">2024 </w:t>
            </w:r>
            <w:r>
              <w:rPr>
                <w:rFonts w:ascii="仿宋_GB2312" w:hAnsi="仿宋_GB2312" w:cs="仿宋_GB2312" w:eastAsia="仿宋_GB2312"/>
                <w:sz w:val="20"/>
              </w:rPr>
              <w:t>年版）；</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）《建筑结构荷载规范》（</w:t>
            </w:r>
            <w:r>
              <w:rPr>
                <w:rFonts w:ascii="仿宋_GB2312" w:hAnsi="仿宋_GB2312" w:cs="仿宋_GB2312" w:eastAsia="仿宋_GB2312"/>
                <w:sz w:val="20"/>
              </w:rPr>
              <w:t>GB 50009-2012</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）《油漆与粉刷作业安全规范》（</w:t>
            </w:r>
            <w:r>
              <w:rPr>
                <w:rFonts w:ascii="仿宋_GB2312" w:hAnsi="仿宋_GB2312" w:cs="仿宋_GB2312" w:eastAsia="仿宋_GB2312"/>
                <w:sz w:val="20"/>
              </w:rPr>
              <w:t>AQ 5205-2008</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）《建筑给水排水设计规范》（</w:t>
            </w:r>
            <w:r>
              <w:rPr>
                <w:rFonts w:ascii="仿宋_GB2312" w:hAnsi="仿宋_GB2312" w:cs="仿宋_GB2312" w:eastAsia="仿宋_GB2312"/>
                <w:sz w:val="20"/>
              </w:rPr>
              <w:t>GB 50015-2019</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）《建筑照明设计标准》（</w:t>
            </w:r>
            <w:r>
              <w:rPr>
                <w:rFonts w:ascii="仿宋_GB2312" w:hAnsi="仿宋_GB2312" w:cs="仿宋_GB2312" w:eastAsia="仿宋_GB2312"/>
                <w:sz w:val="20"/>
              </w:rPr>
              <w:t>GB 50034-2024</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）《建筑地面设计规范》（</w:t>
            </w:r>
            <w:r>
              <w:rPr>
                <w:rFonts w:ascii="仿宋_GB2312" w:hAnsi="仿宋_GB2312" w:cs="仿宋_GB2312" w:eastAsia="仿宋_GB2312"/>
                <w:sz w:val="20"/>
              </w:rPr>
              <w:t>GB50037-2013</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）《公共建筑节能设计标准》（</w:t>
            </w:r>
            <w:r>
              <w:rPr>
                <w:rFonts w:ascii="仿宋_GB2312" w:hAnsi="仿宋_GB2312" w:cs="仿宋_GB2312" w:eastAsia="仿宋_GB2312"/>
                <w:sz w:val="20"/>
              </w:rPr>
              <w:t>GB50189-2015</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）《给水排水工程管道结构设计规范》（</w:t>
            </w:r>
            <w:r>
              <w:rPr>
                <w:rFonts w:ascii="仿宋_GB2312" w:hAnsi="仿宋_GB2312" w:cs="仿宋_GB2312" w:eastAsia="仿宋_GB2312"/>
                <w:sz w:val="20"/>
              </w:rPr>
              <w:t>GB50332-2002</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）《建设工程施工现场供用电安全规范》（</w:t>
            </w:r>
            <w:r>
              <w:rPr>
                <w:rFonts w:ascii="仿宋_GB2312" w:hAnsi="仿宋_GB2312" w:cs="仿宋_GB2312" w:eastAsia="仿宋_GB2312"/>
                <w:sz w:val="20"/>
              </w:rPr>
              <w:t>GB50194-2014</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）《电力工程电缆设计规范》（</w:t>
            </w:r>
            <w:r>
              <w:rPr>
                <w:rFonts w:ascii="仿宋_GB2312" w:hAnsi="仿宋_GB2312" w:cs="仿宋_GB2312" w:eastAsia="仿宋_GB2312"/>
                <w:sz w:val="20"/>
              </w:rPr>
              <w:t>GB50217-2018</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）《供配电系统设计规范》（</w:t>
            </w:r>
            <w:r>
              <w:rPr>
                <w:rFonts w:ascii="仿宋_GB2312" w:hAnsi="仿宋_GB2312" w:cs="仿宋_GB2312" w:eastAsia="仿宋_GB2312"/>
                <w:sz w:val="20"/>
              </w:rPr>
              <w:t>GB50052-2009</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）政府相关建设要求；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）国家及地方其他相关现行技术规范、标准。</w:t>
            </w:r>
          </w:p>
          <w:p>
            <w:pPr>
              <w:pStyle w:val="null3"/>
            </w:pPr>
            <w:r>
              <w:rPr>
                <w:rFonts w:ascii="仿宋_GB2312" w:hAnsi="仿宋_GB2312" w:cs="仿宋_GB2312" w:eastAsia="仿宋_GB2312"/>
                <w:sz w:val="20"/>
              </w:rPr>
              <w:t>五、设计服务要求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）根据院方使用的相关要求提供概念性方案。</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）依据确认的概念性方案进行深化设计方案。</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）依据</w:t>
            </w:r>
            <w:r>
              <w:rPr>
                <w:rFonts w:ascii="仿宋_GB2312" w:hAnsi="仿宋_GB2312" w:cs="仿宋_GB2312" w:eastAsia="仿宋_GB2312"/>
                <w:sz w:val="20"/>
              </w:rPr>
              <w:t>相关设计方案或图纸的设计概算</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）依据确认的设计方案进行施工图设计。</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）后续配合服务。</w:t>
            </w:r>
          </w:p>
          <w:p>
            <w:pPr>
              <w:pStyle w:val="null3"/>
            </w:pPr>
            <w:r>
              <w:rPr>
                <w:rFonts w:ascii="仿宋_GB2312" w:hAnsi="仿宋_GB2312" w:cs="仿宋_GB2312" w:eastAsia="仿宋_GB2312"/>
                <w:sz w:val="20"/>
              </w:rPr>
              <w:t>六、报价要求</w:t>
            </w:r>
          </w:p>
          <w:p>
            <w:pPr>
              <w:pStyle w:val="null3"/>
            </w:pPr>
            <w:r>
              <w:rPr>
                <w:rFonts w:ascii="仿宋_GB2312" w:hAnsi="仿宋_GB2312" w:cs="仿宋_GB2312" w:eastAsia="仿宋_GB2312"/>
                <w:sz w:val="20"/>
              </w:rPr>
              <w:t>按费率报价，参照《工程勘察设计收费管理规定》（计价格</w:t>
            </w:r>
            <w:r>
              <w:rPr>
                <w:rFonts w:ascii="仿宋_GB2312" w:hAnsi="仿宋_GB2312" w:cs="仿宋_GB2312" w:eastAsia="仿宋_GB2312"/>
                <w:sz w:val="20"/>
              </w:rPr>
              <w:t>[2002]10</w:t>
            </w:r>
            <w:r>
              <w:rPr>
                <w:rFonts w:ascii="仿宋_GB2312" w:hAnsi="仿宋_GB2312" w:cs="仿宋_GB2312" w:eastAsia="仿宋_GB2312"/>
                <w:sz w:val="20"/>
              </w:rPr>
              <w:t>号）文件、发改价格【</w:t>
            </w:r>
            <w:r>
              <w:rPr>
                <w:rFonts w:ascii="仿宋_GB2312" w:hAnsi="仿宋_GB2312" w:cs="仿宋_GB2312" w:eastAsia="仿宋_GB2312"/>
                <w:sz w:val="20"/>
              </w:rPr>
              <w:t>2015</w:t>
            </w:r>
            <w:r>
              <w:rPr>
                <w:rFonts w:ascii="仿宋_GB2312" w:hAnsi="仿宋_GB2312" w:cs="仿宋_GB2312" w:eastAsia="仿宋_GB2312"/>
                <w:sz w:val="20"/>
              </w:rPr>
              <w:t>】</w:t>
            </w:r>
            <w:r>
              <w:rPr>
                <w:rFonts w:ascii="仿宋_GB2312" w:hAnsi="仿宋_GB2312" w:cs="仿宋_GB2312" w:eastAsia="仿宋_GB2312"/>
                <w:sz w:val="20"/>
              </w:rPr>
              <w:t>299</w:t>
            </w:r>
            <w:r>
              <w:rPr>
                <w:rFonts w:ascii="仿宋_GB2312" w:hAnsi="仿宋_GB2312" w:cs="仿宋_GB2312" w:eastAsia="仿宋_GB2312"/>
                <w:sz w:val="20"/>
              </w:rPr>
              <w:t>号文件，以暂估建筑安装工程费为基价并结合市场价设定费率报价。</w:t>
            </w:r>
          </w:p>
          <w:p>
            <w:pPr>
              <w:pStyle w:val="null3"/>
            </w:pPr>
            <w:r>
              <w:rPr>
                <w:rFonts w:ascii="仿宋_GB2312" w:hAnsi="仿宋_GB2312" w:cs="仿宋_GB2312" w:eastAsia="仿宋_GB2312"/>
                <w:sz w:val="20"/>
              </w:rPr>
              <w:t>七、结算方式</w:t>
            </w:r>
          </w:p>
          <w:p>
            <w:pPr>
              <w:pStyle w:val="null3"/>
            </w:pPr>
            <w:r>
              <w:rPr>
                <w:rFonts w:ascii="仿宋_GB2312" w:hAnsi="仿宋_GB2312" w:cs="仿宋_GB2312" w:eastAsia="仿宋_GB2312"/>
                <w:sz w:val="20"/>
              </w:rPr>
              <w:t>本项目的咨询和设计服务采用单项工程单独计算（一事一议）。</w:t>
            </w:r>
          </w:p>
          <w:p>
            <w:pPr>
              <w:pStyle w:val="null3"/>
            </w:pPr>
            <w:r>
              <w:rPr>
                <w:rFonts w:ascii="仿宋_GB2312" w:hAnsi="仿宋_GB2312" w:cs="仿宋_GB2312" w:eastAsia="仿宋_GB2312"/>
                <w:sz w:val="20"/>
              </w:rPr>
              <w:t>每次设计服务完成后，按以下方式结算：</w:t>
            </w:r>
          </w:p>
          <w:p>
            <w:pPr>
              <w:pStyle w:val="null3"/>
            </w:pPr>
            <w:r>
              <w:rPr>
                <w:rFonts w:ascii="仿宋_GB2312" w:hAnsi="仿宋_GB2312" w:cs="仿宋_GB2312" w:eastAsia="仿宋_GB2312"/>
                <w:sz w:val="20"/>
              </w:rPr>
              <w:t>设计费结算价格</w:t>
            </w:r>
            <w:r>
              <w:rPr>
                <w:rFonts w:ascii="仿宋_GB2312" w:hAnsi="仿宋_GB2312" w:cs="仿宋_GB2312" w:eastAsia="仿宋_GB2312"/>
                <w:sz w:val="20"/>
              </w:rPr>
              <w:t>=</w:t>
            </w:r>
            <w:r>
              <w:rPr>
                <w:rFonts w:ascii="仿宋_GB2312" w:hAnsi="仿宋_GB2312" w:cs="仿宋_GB2312" w:eastAsia="仿宋_GB2312"/>
                <w:sz w:val="20"/>
              </w:rPr>
              <w:t>审核批准的设计概算为基价计算的设计费金额×中标费率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下发设计任务后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单项设计成果通过审核后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单项项目竣工验收</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2.提供开标前六个月内任意一个月依法缴纳税收和社会保障资金的证明材料复印件； 3.具备履行合同所必需的设备和专业技术能力的承诺书； 4.供应商参加政府采购活动前3年内在经营活动中没有重大违法记录的书面声明书。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投标人提供上一年度的财务审计报告复印件，或本年度基本开户银行出具的资信证明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承诺函.docx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供应商须具备建设主管部门颁发的【工程设计综合甲级资质】或【建筑行业工程设计乙级】及以上资质或【建筑行业（建筑工程）专业设计乙级】及以上资质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供应商拟派项目负责人须具备二级及以上注册建筑师或注册电气工程师执业资格，且在本单位注册。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 存在直接控股、管理关系的不同投标人，不得同时参加本次采购活动。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报价（费率）</w:t>
            </w:r>
          </w:p>
        </w:tc>
        <w:tc>
          <w:tcPr>
            <w:tcW w:type="dxa" w:w="3322"/>
          </w:tcPr>
          <w:p>
            <w:pPr>
              <w:pStyle w:val="null3"/>
            </w:pPr>
            <w:r>
              <w:rPr>
                <w:rFonts w:ascii="仿宋_GB2312" w:hAnsi="仿宋_GB2312" w:cs="仿宋_GB2312" w:eastAsia="仿宋_GB2312"/>
              </w:rPr>
              <w:t>供应商首次磋商报价未出现选择性报价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 服务方案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评审内容:根据供应商针对本项目的理解分析，各部分内容全面详细、阐述条理清晰详尽、符合磋商文件要求。方案内容包含①项目背景；②现状分析；③相关标准及规范；④重难点分析。 评审标准:上述每项方案内容无缺陷得3分，满分为12分。方案内容每存在1处缺陷：扣0.5分，扣完为止；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评审内容:根据供应商针对本项目的总体方案，各部分内容全面详细、阐述条理清晰详尽、符合磋商文件要求。方案内容包含①技术思路；②服务流程；③管理制度和协调方案；④数据及资料管理；⑤后续服务。 评审标准:上述每项方案内容无缺陷得3分，满分为15分。方案内容每存在1处缺陷：扣0.5分，扣完为止；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评审内容:根据供应商针对本项目的质量保障措施，各部分内容全面详细、阐述条理清晰详尽、符合磋商文件要求。方案内容包含①质量问题分析；②保障措施；③达到目标。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评审内容:根据供应商针对本项目的进度计划及保障措施，各部分内容全面详细、阐述条理清晰详尽、符合磋商文件要求。方案内容包含①进度计划；②保障措施。 评审标准:上述每项方案内容无缺陷得3分，满分为6分。方案内容每存在1处缺陷：扣0.5分，扣完为止；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根据供应商针对本项目的人员配备方案，各部分内容全面详细、阐述条理清晰详尽、符合磋商文件要求。方案内容包含①团队机构设置；②人员名单；③人员岗位职责；④人员职业资格、专业技术能力及经验。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评审内容:根据供应商针对本项目的成果提交措施，各部分内容全面详细、阐述条理清晰详尽、符合磋商文件要求。方案内容包含①提交内容；②规范性；③工作流程。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评审内容:根据供应商针对本项目的保密工作方案，各部分内容全面详细、阐述条理清晰详尽、符合磋商文件要求。方案内容包含①保密工作承诺；②保密制度；③保证措施。 评审标准:上述每项方案内容无缺陷得3分，满分为9分。方案内容每存在1处缺陷：扣0.5分，扣完为止；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评审内容:根据供应商针对本项目的管理制度，各部分内容全面详细、阐述条理清晰详尽、符合磋商文件要求。方案内容包含①内部管理制度；②操作规程；③劳动纪律和奖惩制度。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供应商2022年5月至今具有类似项目业绩，每提供1个得3分，满分9分。 评审依据：以合同签订时间为准，提供合同复印件加盖公章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供应商同时具有在有效期内的质量管理体系认证、环境管理体系认证、职业健康安全管理体系认证得3分，每少一项认证扣1分，扣完为止。 评审依据：以加盖公章的证书复印件或扫描件为准。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