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版本号：ZCSP-渭南市-2025-0040220250611002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渭南高新区调区扩区总体发展规划编制项目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ZCSP-渭南市-2025-00402</w:t>
      </w:r>
      <w:r>
        <w:br/>
      </w:r>
      <w:r>
        <w:br/>
      </w:r>
      <w:r>
        <w:br/>
      </w:r>
    </w:p>
    <w:p>
      <w:pPr>
        <w:pStyle w:val="null3"/>
        <w:jc w:val="center"/>
        <w:outlineLvl w:val="2"/>
      </w:pPr>
      <w:r>
        <w:rPr>
          <w:rFonts w:ascii="仿宋_GB2312" w:hAnsi="仿宋_GB2312" w:cs="仿宋_GB2312" w:eastAsia="仿宋_GB2312"/>
          <w:sz w:val="28"/>
          <w:b/>
        </w:rPr>
        <w:t>渭南市自然资源和规划局高新管理中心</w:t>
      </w:r>
    </w:p>
    <w:p>
      <w:pPr>
        <w:pStyle w:val="null3"/>
        <w:jc w:val="center"/>
        <w:outlineLvl w:val="2"/>
      </w:pPr>
      <w:r>
        <w:rPr>
          <w:rFonts w:ascii="仿宋_GB2312" w:hAnsi="仿宋_GB2312" w:cs="仿宋_GB2312" w:eastAsia="仿宋_GB2312"/>
          <w:sz w:val="28"/>
          <w:b/>
        </w:rPr>
        <w:t>语芯建设集团有限公司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语芯建设集团有限公司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渭南市自然资源和规划局高新管理中心</w:t>
      </w:r>
      <w:r>
        <w:rPr>
          <w:rFonts w:ascii="仿宋_GB2312" w:hAnsi="仿宋_GB2312" w:cs="仿宋_GB2312" w:eastAsia="仿宋_GB2312"/>
        </w:rPr>
        <w:t>委托，拟对</w:t>
      </w:r>
      <w:r>
        <w:rPr>
          <w:rFonts w:ascii="仿宋_GB2312" w:hAnsi="仿宋_GB2312" w:cs="仿宋_GB2312" w:eastAsia="仿宋_GB2312"/>
        </w:rPr>
        <w:t>渭南高新区调区扩区总体发展规划编制项目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渭南高新区调区扩区总体发展规划编制项目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渭南高新区总体发展规划》编制工作，指导高新区产业发展，满足区域发展要求并作为高新区调区扩区申报的依据，符合《渭南市国土空间总体规划（2021-2035年）》管控要求，满足高新区发展及调区扩区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采购包1（渭南高新区调区扩区总体发展规划编制项目）：属于专门面向中小企业采购。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被授权人身份证复印件）。供应商需在项目电子化交易系统中按要求上传相应证明文件并进行电子签章。</w:t>
      </w:r>
    </w:p>
    <w:p>
      <w:pPr>
        <w:pStyle w:val="null3"/>
      </w:pPr>
      <w:r>
        <w:rPr>
          <w:rFonts w:ascii="仿宋_GB2312" w:hAnsi="仿宋_GB2312" w:cs="仿宋_GB2312" w:eastAsia="仿宋_GB2312"/>
        </w:rPr>
        <w:t>2、资质要求：供应商具有城乡规划编制乙级及以上资质；供应商需在项目电子化交易系统中按要求上传相应证明文件并进行电子签章。</w:t>
      </w:r>
    </w:p>
    <w:p>
      <w:pPr>
        <w:pStyle w:val="null3"/>
      </w:pPr>
      <w:r>
        <w:rPr>
          <w:rFonts w:ascii="仿宋_GB2312" w:hAnsi="仿宋_GB2312" w:cs="仿宋_GB2312" w:eastAsia="仿宋_GB2312"/>
        </w:rPr>
        <w:t>3、项目负责人要求：供应商拟派项目负责人须具有注册城乡规划师执业资格或城乡规划类专业中级及以上技术职称，为本单位在职人员，提供在本单位缴纳社保证明；供应商需在项目电子化交易系统中按要求上传相应证明文件并进行电子签章。</w:t>
      </w:r>
    </w:p>
    <w:p>
      <w:pPr>
        <w:pStyle w:val="null3"/>
      </w:pPr>
      <w:r>
        <w:rPr>
          <w:rFonts w:ascii="仿宋_GB2312" w:hAnsi="仿宋_GB2312" w:cs="仿宋_GB2312" w:eastAsia="仿宋_GB2312"/>
        </w:rPr>
        <w:t>4、信用记录：供应商不得在“信用中国”网站(http://www.creditchina.gov.cn)被列入失信被执行人、重大税收违法失信主体；不得在“中国政府采购网” (http://www.ccgp.gov.cn) 被列入政府采购严重违法失信行为记录名单。</w:t>
      </w:r>
    </w:p>
    <w:p>
      <w:pPr>
        <w:pStyle w:val="null3"/>
      </w:pPr>
      <w:r>
        <w:rPr>
          <w:rFonts w:ascii="仿宋_GB2312" w:hAnsi="仿宋_GB2312" w:cs="仿宋_GB2312" w:eastAsia="仿宋_GB2312"/>
        </w:rPr>
        <w:t>5、供应商不得存在下列情形之一：①单位负责人为同一人或者存在控股、管理关系的不同单位，不得参加同一合同项下的政府采购活动。 ②为本项目提供整体设计、规范编制或者项目管理、监理、检测等服务的供应商，不得再参加本项目的采购活动。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渭南市自然资源和规划局高新管理中心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渭南市高新区辛市街道香山大道3号渭南市高新区管委会</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董栩宁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0913-2580169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语芯建设集团有限公司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陕西省渭南市高新技术产业开发区万达广场4号写字楼301-1室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行增凯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17262209202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开户名称：语芯建设集团有限公司</w:t>
            </w:r>
          </w:p>
          <w:p>
            <w:pPr>
              <w:pStyle w:val="null3"/>
            </w:pPr>
            <w:r>
              <w:rPr>
                <w:rFonts w:ascii="仿宋_GB2312" w:hAnsi="仿宋_GB2312" w:cs="仿宋_GB2312" w:eastAsia="仿宋_GB2312"/>
              </w:rPr>
              <w:t>开户银行：中国建设银行渭南电信支行</w:t>
            </w:r>
          </w:p>
          <w:p>
            <w:pPr>
              <w:pStyle w:val="null3"/>
            </w:pPr>
            <w:r>
              <w:rPr>
                <w:rFonts w:ascii="仿宋_GB2312" w:hAnsi="仿宋_GB2312" w:cs="仿宋_GB2312" w:eastAsia="仿宋_GB2312"/>
              </w:rPr>
              <w:t>银行账号：61050164280000000703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代理服务费收费标准：参照原国家计委计价格〔2002〕1980号文、国家发改委发改办价格〔2003〕857号文和国家发改委发改价格〔2011〕534号文的有关规定标准下浮5%计取。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渭南市自然资源和规划局高新管理中心</w:t>
      </w:r>
      <w:r>
        <w:rPr>
          <w:rFonts w:ascii="仿宋_GB2312" w:hAnsi="仿宋_GB2312" w:cs="仿宋_GB2312" w:eastAsia="仿宋_GB2312"/>
        </w:rPr>
        <w:t>和</w:t>
      </w:r>
      <w:r>
        <w:rPr>
          <w:rFonts w:ascii="仿宋_GB2312" w:hAnsi="仿宋_GB2312" w:cs="仿宋_GB2312" w:eastAsia="仿宋_GB2312"/>
        </w:rPr>
        <w:t>语芯建设集团有限公司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渭南市自然资源和规划局高新管理中心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语芯建设集团有限公司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渭南市自然资源和规划局高新管理中心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语芯建设集团有限公司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（1）渭南高新技术产业开发区总体发展规划文本； （2）渭南高新技术产业开发区总体发展规划说明书； （3）渭南高新技术产业开发区总体发展规划相关图件。 2、验收标准 满足采购人需求且符合现行国家及行业相关规范及标准。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联系人：行增凯</w:t>
      </w:r>
    </w:p>
    <w:p>
      <w:pPr>
        <w:pStyle w:val="null3"/>
      </w:pPr>
      <w:r>
        <w:rPr>
          <w:rFonts w:ascii="仿宋_GB2312" w:hAnsi="仿宋_GB2312" w:cs="仿宋_GB2312" w:eastAsia="仿宋_GB2312"/>
        </w:rPr>
        <w:t>联系电话：0913-2101155</w:t>
      </w:r>
    </w:p>
    <w:p>
      <w:pPr>
        <w:pStyle w:val="null3"/>
      </w:pPr>
      <w:r>
        <w:rPr>
          <w:rFonts w:ascii="仿宋_GB2312" w:hAnsi="仿宋_GB2312" w:cs="仿宋_GB2312" w:eastAsia="仿宋_GB2312"/>
        </w:rPr>
        <w:t>地址：陕西省渭南市高新技术产业开发区万达广场4号写字楼301-1室</w:t>
      </w:r>
    </w:p>
    <w:p>
      <w:pPr>
        <w:pStyle w:val="null3"/>
      </w:pPr>
      <w:r>
        <w:rPr>
          <w:rFonts w:ascii="仿宋_GB2312" w:hAnsi="仿宋_GB2312" w:cs="仿宋_GB2312" w:eastAsia="仿宋_GB2312"/>
        </w:rPr>
        <w:t>邮编：sxhztzbdl@163.com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渭南高新区总体发展规划》编制工作，指导高新区产业发展，满足区域发展要求并作为高新区调区扩区申报的依据，符合《渭南市国土空间总体规划（2021-2035年）》管控要求，满足高新区发展及调区扩区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渭南高新区调区扩区总体发展规划编制项目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标的名称：渭南高新区调区扩区总体发展规划编制项目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b/>
              </w:rPr>
              <w:t>一、基本要求</w:t>
            </w:r>
          </w:p>
          <w:p>
            <w:pPr>
              <w:pStyle w:val="null3"/>
              <w:ind w:firstLine="560"/>
              <w:jc w:val="both"/>
            </w:pPr>
            <w:r>
              <w:rPr>
                <w:rFonts w:ascii="仿宋_GB2312" w:hAnsi="仿宋_GB2312" w:cs="仿宋_GB2312" w:eastAsia="仿宋_GB2312"/>
              </w:rPr>
              <w:t>1、功能要求：指导高新区产业发展，满足区域发展要求并作为高新区调区扩区申报的依据，符合《渭南市国土空间总体规划（2021-2035年）》管控要求，满足高新区发展及调区扩区需求。</w:t>
            </w:r>
          </w:p>
          <w:p>
            <w:pPr>
              <w:pStyle w:val="null3"/>
              <w:ind w:firstLine="560"/>
              <w:jc w:val="both"/>
            </w:pPr>
            <w:r>
              <w:rPr>
                <w:rFonts w:ascii="仿宋_GB2312" w:hAnsi="仿宋_GB2312" w:cs="仿宋_GB2312" w:eastAsia="仿宋_GB2312"/>
              </w:rPr>
              <w:t>2、服务期限：合同签订之日起90日历天</w:t>
            </w:r>
          </w:p>
          <w:p>
            <w:pPr>
              <w:pStyle w:val="null3"/>
              <w:ind w:firstLine="560"/>
              <w:jc w:val="both"/>
            </w:pPr>
            <w:r>
              <w:rPr>
                <w:rFonts w:ascii="仿宋_GB2312" w:hAnsi="仿宋_GB2312" w:cs="仿宋_GB2312" w:eastAsia="仿宋_GB2312"/>
              </w:rPr>
              <w:t>3、服务地点：渭南高新区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b/>
              </w:rPr>
              <w:t>二、需执行的国家相关标准、行业标准、地方标准或者其他标准、规范标准</w:t>
            </w:r>
          </w:p>
          <w:p>
            <w:pPr>
              <w:pStyle w:val="null3"/>
              <w:ind w:firstLine="562"/>
              <w:jc w:val="both"/>
            </w:pPr>
            <w:r>
              <w:rPr>
                <w:rFonts w:ascii="仿宋_GB2312" w:hAnsi="仿宋_GB2312" w:cs="仿宋_GB2312" w:eastAsia="仿宋_GB2312"/>
                <w:b/>
              </w:rPr>
              <w:t>（一）法律法规</w:t>
            </w:r>
          </w:p>
          <w:p>
            <w:pPr>
              <w:pStyle w:val="null3"/>
              <w:ind w:firstLine="560"/>
              <w:jc w:val="both"/>
            </w:pPr>
            <w:r>
              <w:rPr>
                <w:rFonts w:ascii="仿宋_GB2312" w:hAnsi="仿宋_GB2312" w:cs="仿宋_GB2312" w:eastAsia="仿宋_GB2312"/>
              </w:rPr>
              <w:t>（1）《中华人民共和国土地管理法》（2019年修订）；</w:t>
            </w:r>
          </w:p>
          <w:p>
            <w:pPr>
              <w:pStyle w:val="null3"/>
              <w:ind w:firstLine="560"/>
              <w:jc w:val="both"/>
            </w:pPr>
            <w:r>
              <w:rPr>
                <w:rFonts w:ascii="仿宋_GB2312" w:hAnsi="仿宋_GB2312" w:cs="仿宋_GB2312" w:eastAsia="仿宋_GB2312"/>
              </w:rPr>
              <w:t>（2）《中华人民共和国城乡规划法》（2019年修订）；</w:t>
            </w:r>
          </w:p>
          <w:p>
            <w:pPr>
              <w:pStyle w:val="null3"/>
              <w:ind w:firstLine="560"/>
              <w:jc w:val="both"/>
            </w:pPr>
            <w:r>
              <w:rPr>
                <w:rFonts w:ascii="仿宋_GB2312" w:hAnsi="仿宋_GB2312" w:cs="仿宋_GB2312" w:eastAsia="仿宋_GB2312"/>
              </w:rPr>
              <w:t>（3）《中华人民共和国环境保护法》（2014年修订）；</w:t>
            </w:r>
          </w:p>
          <w:p>
            <w:pPr>
              <w:pStyle w:val="null3"/>
              <w:ind w:firstLine="560"/>
              <w:jc w:val="both"/>
            </w:pPr>
            <w:r>
              <w:rPr>
                <w:rFonts w:ascii="仿宋_GB2312" w:hAnsi="仿宋_GB2312" w:cs="仿宋_GB2312" w:eastAsia="仿宋_GB2312"/>
              </w:rPr>
              <w:t>（4）《中华人民共和国文物保护法》（2024年修订）；</w:t>
            </w:r>
          </w:p>
          <w:p>
            <w:pPr>
              <w:pStyle w:val="null3"/>
              <w:ind w:firstLine="560"/>
              <w:jc w:val="both"/>
            </w:pPr>
            <w:r>
              <w:rPr>
                <w:rFonts w:ascii="仿宋_GB2312" w:hAnsi="仿宋_GB2312" w:cs="仿宋_GB2312" w:eastAsia="仿宋_GB2312"/>
              </w:rPr>
              <w:t>（5）《中华人民共和国大气污染防治法》（2018年修订）；</w:t>
            </w:r>
          </w:p>
          <w:p>
            <w:pPr>
              <w:pStyle w:val="null3"/>
              <w:ind w:firstLine="560"/>
              <w:jc w:val="both"/>
            </w:pPr>
            <w:r>
              <w:rPr>
                <w:rFonts w:ascii="仿宋_GB2312" w:hAnsi="仿宋_GB2312" w:cs="仿宋_GB2312" w:eastAsia="仿宋_GB2312"/>
              </w:rPr>
              <w:t>（6）《中华人民共和国水法》（2016年修订）；</w:t>
            </w:r>
          </w:p>
          <w:p>
            <w:pPr>
              <w:pStyle w:val="null3"/>
              <w:ind w:firstLine="560"/>
              <w:jc w:val="both"/>
            </w:pPr>
            <w:r>
              <w:rPr>
                <w:rFonts w:ascii="仿宋_GB2312" w:hAnsi="仿宋_GB2312" w:cs="仿宋_GB2312" w:eastAsia="仿宋_GB2312"/>
              </w:rPr>
              <w:t>（7）《中华人民共和国水污染防治法》（2017年修订）；</w:t>
            </w:r>
          </w:p>
          <w:p>
            <w:pPr>
              <w:pStyle w:val="null3"/>
              <w:ind w:firstLine="560"/>
              <w:jc w:val="both"/>
            </w:pPr>
            <w:r>
              <w:rPr>
                <w:rFonts w:ascii="仿宋_GB2312" w:hAnsi="仿宋_GB2312" w:cs="仿宋_GB2312" w:eastAsia="仿宋_GB2312"/>
              </w:rPr>
              <w:t>（8）《中华人民共和国环境影响评价法》（2018年修订）；</w:t>
            </w:r>
          </w:p>
          <w:p>
            <w:pPr>
              <w:pStyle w:val="null3"/>
              <w:ind w:firstLine="560"/>
              <w:jc w:val="both"/>
            </w:pPr>
            <w:r>
              <w:rPr>
                <w:rFonts w:ascii="仿宋_GB2312" w:hAnsi="仿宋_GB2312" w:cs="仿宋_GB2312" w:eastAsia="仿宋_GB2312"/>
              </w:rPr>
              <w:t>（9）《中华人民共和国士地管理法实施条例》（2021年修订）；</w:t>
            </w:r>
          </w:p>
          <w:p>
            <w:pPr>
              <w:pStyle w:val="null3"/>
              <w:ind w:firstLine="560"/>
              <w:jc w:val="both"/>
            </w:pPr>
            <w:r>
              <w:rPr>
                <w:rFonts w:ascii="仿宋_GB2312" w:hAnsi="仿宋_GB2312" w:cs="仿宋_GB2312" w:eastAsia="仿宋_GB2312"/>
              </w:rPr>
              <w:t>（10）《中华人民共和国黄河保护法（2022年）》；</w:t>
            </w:r>
          </w:p>
          <w:p>
            <w:pPr>
              <w:pStyle w:val="null3"/>
              <w:ind w:firstLine="560"/>
              <w:jc w:val="both"/>
            </w:pPr>
            <w:r>
              <w:rPr>
                <w:rFonts w:ascii="仿宋_GB2312" w:hAnsi="仿宋_GB2312" w:cs="仿宋_GB2312" w:eastAsia="仿宋_GB2312"/>
              </w:rPr>
              <w:t>（11）《中华人民共和国循环经济促进法》（2018年修订）；</w:t>
            </w:r>
          </w:p>
          <w:p>
            <w:pPr>
              <w:pStyle w:val="null3"/>
              <w:ind w:firstLine="560"/>
              <w:jc w:val="both"/>
            </w:pPr>
            <w:r>
              <w:rPr>
                <w:rFonts w:ascii="仿宋_GB2312" w:hAnsi="仿宋_GB2312" w:cs="仿宋_GB2312" w:eastAsia="仿宋_GB2312"/>
              </w:rPr>
              <w:t>（12）《中华人民共和国土壤污染防治法》（2018年）；</w:t>
            </w:r>
          </w:p>
          <w:p>
            <w:pPr>
              <w:pStyle w:val="null3"/>
              <w:ind w:firstLine="560"/>
              <w:jc w:val="both"/>
            </w:pPr>
            <w:r>
              <w:rPr>
                <w:rFonts w:ascii="仿宋_GB2312" w:hAnsi="仿宋_GB2312" w:cs="仿宋_GB2312" w:eastAsia="仿宋_GB2312"/>
              </w:rPr>
              <w:t>（13）《中华人民共和国安全生产法》（2021年修订）；</w:t>
            </w:r>
          </w:p>
          <w:p>
            <w:pPr>
              <w:pStyle w:val="null3"/>
              <w:ind w:firstLine="560"/>
              <w:jc w:val="both"/>
            </w:pPr>
            <w:r>
              <w:rPr>
                <w:rFonts w:ascii="仿宋_GB2312" w:hAnsi="仿宋_GB2312" w:cs="仿宋_GB2312" w:eastAsia="仿宋_GB2312"/>
              </w:rPr>
              <w:t>（14）《中华人民共和国固体废物污染环境防治法（修订）》（2020年修订）；</w:t>
            </w:r>
          </w:p>
          <w:p>
            <w:pPr>
              <w:pStyle w:val="null3"/>
              <w:ind w:firstLine="560"/>
              <w:jc w:val="both"/>
            </w:pPr>
            <w:r>
              <w:rPr>
                <w:rFonts w:ascii="仿宋_GB2312" w:hAnsi="仿宋_GB2312" w:cs="仿宋_GB2312" w:eastAsia="仿宋_GB2312"/>
              </w:rPr>
              <w:t>（15）《中华人民共和国噪声污染防治法》（2021年修订）；</w:t>
            </w:r>
          </w:p>
          <w:p>
            <w:pPr>
              <w:pStyle w:val="null3"/>
              <w:ind w:firstLine="560"/>
              <w:jc w:val="both"/>
            </w:pPr>
            <w:r>
              <w:rPr>
                <w:rFonts w:ascii="仿宋_GB2312" w:hAnsi="仿宋_GB2312" w:cs="仿宋_GB2312" w:eastAsia="仿宋_GB2312"/>
              </w:rPr>
              <w:t>（16）《中华人民共和国清洁生产促进法》（2012年修订）；</w:t>
            </w:r>
          </w:p>
          <w:p>
            <w:pPr>
              <w:pStyle w:val="null3"/>
              <w:ind w:firstLine="560"/>
              <w:jc w:val="both"/>
            </w:pPr>
            <w:r>
              <w:rPr>
                <w:rFonts w:ascii="仿宋_GB2312" w:hAnsi="仿宋_GB2312" w:cs="仿宋_GB2312" w:eastAsia="仿宋_GB2312"/>
              </w:rPr>
              <w:t>（17）《安全生产许可证条例》（2014修订）；</w:t>
            </w:r>
          </w:p>
          <w:p>
            <w:pPr>
              <w:pStyle w:val="null3"/>
              <w:ind w:firstLine="560"/>
              <w:jc w:val="both"/>
            </w:pPr>
            <w:r>
              <w:rPr>
                <w:rFonts w:ascii="仿宋_GB2312" w:hAnsi="仿宋_GB2312" w:cs="仿宋_GB2312" w:eastAsia="仿宋_GB2312"/>
              </w:rPr>
              <w:t>（18）《生产安全事故应急条例》（2019年）；</w:t>
            </w:r>
          </w:p>
          <w:p>
            <w:pPr>
              <w:pStyle w:val="null3"/>
              <w:ind w:firstLine="560"/>
              <w:jc w:val="both"/>
            </w:pPr>
            <w:r>
              <w:rPr>
                <w:rFonts w:ascii="仿宋_GB2312" w:hAnsi="仿宋_GB2312" w:cs="仿宋_GB2312" w:eastAsia="仿宋_GB2312"/>
              </w:rPr>
              <w:t>（19）《突发公共卫生事件应急条例》（2003年）。</w:t>
            </w:r>
          </w:p>
          <w:p>
            <w:pPr>
              <w:pStyle w:val="null3"/>
              <w:ind w:firstLine="562"/>
              <w:jc w:val="both"/>
            </w:pPr>
            <w:r>
              <w:rPr>
                <w:rFonts w:ascii="仿宋_GB2312" w:hAnsi="仿宋_GB2312" w:cs="仿宋_GB2312" w:eastAsia="仿宋_GB2312"/>
                <w:b/>
              </w:rPr>
              <w:t>（二）标准规范</w:t>
            </w:r>
          </w:p>
          <w:p>
            <w:pPr>
              <w:pStyle w:val="null3"/>
              <w:ind w:firstLine="560"/>
              <w:jc w:val="both"/>
            </w:pPr>
            <w:r>
              <w:rPr>
                <w:rFonts w:ascii="仿宋_GB2312" w:hAnsi="仿宋_GB2312" w:cs="仿宋_GB2312" w:eastAsia="仿宋_GB2312"/>
              </w:rPr>
              <w:t>（1）《国民经济行业分类》（GB/T4754-2017）；</w:t>
            </w:r>
          </w:p>
          <w:p>
            <w:pPr>
              <w:pStyle w:val="null3"/>
              <w:ind w:firstLine="560"/>
              <w:jc w:val="both"/>
            </w:pPr>
            <w:r>
              <w:rPr>
                <w:rFonts w:ascii="仿宋_GB2312" w:hAnsi="仿宋_GB2312" w:cs="仿宋_GB2312" w:eastAsia="仿宋_GB2312"/>
              </w:rPr>
              <w:t>（2）自然资源部关于印发《国土空间调查、规划、用途管制用地用海分类指南》的通知（自然资发〔2023〕234号）；</w:t>
            </w:r>
          </w:p>
          <w:p>
            <w:pPr>
              <w:pStyle w:val="null3"/>
              <w:ind w:firstLine="560"/>
              <w:jc w:val="both"/>
            </w:pPr>
            <w:r>
              <w:rPr>
                <w:rFonts w:ascii="仿宋_GB2312" w:hAnsi="仿宋_GB2312" w:cs="仿宋_GB2312" w:eastAsia="仿宋_GB2312"/>
              </w:rPr>
              <w:t>（3）《城市综合交通体系规划标准》（GB/T51328-2018）；</w:t>
            </w:r>
          </w:p>
          <w:p>
            <w:pPr>
              <w:pStyle w:val="null3"/>
              <w:ind w:firstLine="560"/>
              <w:jc w:val="both"/>
            </w:pPr>
            <w:r>
              <w:rPr>
                <w:rFonts w:ascii="仿宋_GB2312" w:hAnsi="仿宋_GB2312" w:cs="仿宋_GB2312" w:eastAsia="仿宋_GB2312"/>
              </w:rPr>
              <w:t>（4）《国土空间规划城市设计指南》（TD/T1065-2021）；</w:t>
            </w:r>
          </w:p>
          <w:p>
            <w:pPr>
              <w:pStyle w:val="null3"/>
              <w:ind w:firstLine="560"/>
              <w:jc w:val="both"/>
            </w:pPr>
            <w:r>
              <w:rPr>
                <w:rFonts w:ascii="仿宋_GB2312" w:hAnsi="仿宋_GB2312" w:cs="仿宋_GB2312" w:eastAsia="仿宋_GB2312"/>
              </w:rPr>
              <w:t>（5）《国家生态工业示范园区标准（HJ274-2015）》；</w:t>
            </w:r>
          </w:p>
          <w:p>
            <w:pPr>
              <w:pStyle w:val="null3"/>
              <w:ind w:firstLine="560"/>
              <w:jc w:val="both"/>
            </w:pPr>
            <w:r>
              <w:rPr>
                <w:rFonts w:ascii="仿宋_GB2312" w:hAnsi="仿宋_GB2312" w:cs="仿宋_GB2312" w:eastAsia="仿宋_GB2312"/>
              </w:rPr>
              <w:t>（6）《城市给水工程规划规范》（GB50282-2016）；</w:t>
            </w:r>
          </w:p>
          <w:p>
            <w:pPr>
              <w:pStyle w:val="null3"/>
              <w:ind w:firstLine="560"/>
              <w:jc w:val="both"/>
            </w:pPr>
            <w:r>
              <w:rPr>
                <w:rFonts w:ascii="仿宋_GB2312" w:hAnsi="仿宋_GB2312" w:cs="仿宋_GB2312" w:eastAsia="仿宋_GB2312"/>
              </w:rPr>
              <w:t>（7）《城镇污水处理厂污染物排放标准》（GB18918-2002）；</w:t>
            </w:r>
          </w:p>
          <w:p>
            <w:pPr>
              <w:pStyle w:val="null3"/>
              <w:ind w:firstLine="560"/>
              <w:jc w:val="both"/>
            </w:pPr>
            <w:r>
              <w:rPr>
                <w:rFonts w:ascii="仿宋_GB2312" w:hAnsi="仿宋_GB2312" w:cs="仿宋_GB2312" w:eastAsia="仿宋_GB2312"/>
              </w:rPr>
              <w:t>（8）《生活饮用水卫生标准》（GB5749-2022）；</w:t>
            </w:r>
          </w:p>
          <w:p>
            <w:pPr>
              <w:pStyle w:val="null3"/>
              <w:ind w:firstLine="560"/>
              <w:jc w:val="both"/>
            </w:pPr>
            <w:r>
              <w:rPr>
                <w:rFonts w:ascii="仿宋_GB2312" w:hAnsi="仿宋_GB2312" w:cs="仿宋_GB2312" w:eastAsia="仿宋_GB2312"/>
              </w:rPr>
              <w:t>（9）《地表水环境质量标准》（GB3838-2002）；</w:t>
            </w:r>
          </w:p>
          <w:p>
            <w:pPr>
              <w:pStyle w:val="null3"/>
              <w:ind w:firstLine="560"/>
              <w:jc w:val="both"/>
            </w:pPr>
            <w:r>
              <w:rPr>
                <w:rFonts w:ascii="仿宋_GB2312" w:hAnsi="仿宋_GB2312" w:cs="仿宋_GB2312" w:eastAsia="仿宋_GB2312"/>
              </w:rPr>
              <w:t>（10）《室外排水设计规范》（GB50014-2021）；</w:t>
            </w:r>
          </w:p>
          <w:p>
            <w:pPr>
              <w:pStyle w:val="null3"/>
              <w:ind w:firstLine="560"/>
              <w:jc w:val="both"/>
            </w:pPr>
            <w:r>
              <w:rPr>
                <w:rFonts w:ascii="仿宋_GB2312" w:hAnsi="仿宋_GB2312" w:cs="仿宋_GB2312" w:eastAsia="仿宋_GB2312"/>
              </w:rPr>
              <w:t>（11）《城市电力规划规范》（GB/T50293-2014）；</w:t>
            </w:r>
          </w:p>
          <w:p>
            <w:pPr>
              <w:pStyle w:val="null3"/>
              <w:ind w:firstLine="560"/>
              <w:jc w:val="both"/>
            </w:pPr>
            <w:r>
              <w:rPr>
                <w:rFonts w:ascii="仿宋_GB2312" w:hAnsi="仿宋_GB2312" w:cs="仿宋_GB2312" w:eastAsia="仿宋_GB2312"/>
              </w:rPr>
              <w:t>（12）《城镇燃气设计规范（2020版）》（GB50028-2006）；</w:t>
            </w:r>
          </w:p>
          <w:p>
            <w:pPr>
              <w:pStyle w:val="null3"/>
              <w:ind w:firstLine="560"/>
              <w:jc w:val="both"/>
            </w:pPr>
            <w:r>
              <w:rPr>
                <w:rFonts w:ascii="仿宋_GB2312" w:hAnsi="仿宋_GB2312" w:cs="仿宋_GB2312" w:eastAsia="仿宋_GB2312"/>
              </w:rPr>
              <w:t>（13）《城市工程管线综合规划规范》（GB50289-2016）；</w:t>
            </w:r>
          </w:p>
          <w:p>
            <w:pPr>
              <w:pStyle w:val="null3"/>
              <w:ind w:firstLine="560"/>
              <w:jc w:val="both"/>
            </w:pPr>
            <w:r>
              <w:rPr>
                <w:rFonts w:ascii="仿宋_GB2312" w:hAnsi="仿宋_GB2312" w:cs="仿宋_GB2312" w:eastAsia="仿宋_GB2312"/>
              </w:rPr>
              <w:t>（14）《环境空气质量标准》（GB3095-2012）；</w:t>
            </w:r>
          </w:p>
          <w:p>
            <w:pPr>
              <w:pStyle w:val="null3"/>
              <w:ind w:firstLine="560"/>
              <w:jc w:val="both"/>
            </w:pPr>
            <w:r>
              <w:rPr>
                <w:rFonts w:ascii="仿宋_GB2312" w:hAnsi="仿宋_GB2312" w:cs="仿宋_GB2312" w:eastAsia="仿宋_GB2312"/>
              </w:rPr>
              <w:t>（15）《声环境质量标准》（GB3096-2008）；</w:t>
            </w:r>
          </w:p>
          <w:p>
            <w:pPr>
              <w:pStyle w:val="null3"/>
              <w:ind w:firstLine="560"/>
              <w:jc w:val="both"/>
            </w:pPr>
            <w:r>
              <w:rPr>
                <w:rFonts w:ascii="仿宋_GB2312" w:hAnsi="仿宋_GB2312" w:cs="仿宋_GB2312" w:eastAsia="仿宋_GB2312"/>
              </w:rPr>
              <w:t>（16）《污水综合排放标准》（GB8978-1996）；</w:t>
            </w:r>
          </w:p>
          <w:p>
            <w:pPr>
              <w:pStyle w:val="null3"/>
              <w:ind w:firstLine="560"/>
              <w:jc w:val="both"/>
            </w:pPr>
            <w:r>
              <w:rPr>
                <w:rFonts w:ascii="仿宋_GB2312" w:hAnsi="仿宋_GB2312" w:cs="仿宋_GB2312" w:eastAsia="仿宋_GB2312"/>
              </w:rPr>
              <w:t>（17）《城市环境卫生设施规划标准》（GB/T50337-2018）。</w:t>
            </w:r>
          </w:p>
          <w:p>
            <w:pPr>
              <w:pStyle w:val="null3"/>
              <w:ind w:firstLine="562"/>
              <w:jc w:val="both"/>
            </w:pPr>
            <w:r>
              <w:rPr>
                <w:rFonts w:ascii="仿宋_GB2312" w:hAnsi="仿宋_GB2312" w:cs="仿宋_GB2312" w:eastAsia="仿宋_GB2312"/>
                <w:b/>
              </w:rPr>
              <w:t>（三）相关文件</w:t>
            </w:r>
          </w:p>
          <w:p>
            <w:pPr>
              <w:pStyle w:val="null3"/>
              <w:ind w:firstLine="560"/>
              <w:jc w:val="both"/>
            </w:pPr>
            <w:r>
              <w:rPr>
                <w:rFonts w:ascii="仿宋_GB2312" w:hAnsi="仿宋_GB2312" w:cs="仿宋_GB2312" w:eastAsia="仿宋_GB2312"/>
              </w:rPr>
              <w:t>（1）《中共中央关于进一步全面深化改革、推进中国式现代化的决定》；</w:t>
            </w:r>
          </w:p>
          <w:p>
            <w:pPr>
              <w:pStyle w:val="null3"/>
              <w:ind w:firstLine="560"/>
              <w:jc w:val="both"/>
            </w:pPr>
            <w:r>
              <w:rPr>
                <w:rFonts w:ascii="仿宋_GB2312" w:hAnsi="仿宋_GB2312" w:cs="仿宋_GB2312" w:eastAsia="仿宋_GB2312"/>
              </w:rPr>
              <w:t>（2）中共中央、国务院《关于进一步加强城市规划建设管理工作的若干意见》；</w:t>
            </w:r>
          </w:p>
          <w:p>
            <w:pPr>
              <w:pStyle w:val="null3"/>
              <w:ind w:firstLine="560"/>
              <w:jc w:val="both"/>
            </w:pPr>
            <w:r>
              <w:rPr>
                <w:rFonts w:ascii="仿宋_GB2312" w:hAnsi="仿宋_GB2312" w:cs="仿宋_GB2312" w:eastAsia="仿宋_GB2312"/>
              </w:rPr>
              <w:t>（3）国家发展改革委、工业和信息化部《关于振作工业经济运行推动工业高质量发展的实施方案》的通知（发改产业〔2021〕1780号）；</w:t>
            </w:r>
          </w:p>
          <w:p>
            <w:pPr>
              <w:pStyle w:val="null3"/>
              <w:ind w:firstLine="560"/>
              <w:jc w:val="both"/>
            </w:pPr>
            <w:r>
              <w:rPr>
                <w:rFonts w:ascii="仿宋_GB2312" w:hAnsi="仿宋_GB2312" w:cs="仿宋_GB2312" w:eastAsia="仿宋_GB2312"/>
              </w:rPr>
              <w:t>（4）《产业结构调整指导目录（2024年本）》（发展改革委令2023第7号）；</w:t>
            </w:r>
          </w:p>
          <w:p>
            <w:pPr>
              <w:pStyle w:val="null3"/>
              <w:ind w:firstLine="560"/>
              <w:jc w:val="both"/>
            </w:pPr>
            <w:r>
              <w:rPr>
                <w:rFonts w:ascii="仿宋_GB2312" w:hAnsi="仿宋_GB2312" w:cs="仿宋_GB2312" w:eastAsia="仿宋_GB2312"/>
              </w:rPr>
              <w:t>（5）《关于促进制造业有序转移的指导意见》（工信部联政法〔2021〕215号）；</w:t>
            </w:r>
          </w:p>
          <w:p>
            <w:pPr>
              <w:pStyle w:val="null3"/>
              <w:ind w:firstLine="560"/>
              <w:jc w:val="both"/>
            </w:pPr>
            <w:r>
              <w:rPr>
                <w:rFonts w:ascii="仿宋_GB2312" w:hAnsi="仿宋_GB2312" w:cs="仿宋_GB2312" w:eastAsia="仿宋_GB2312"/>
              </w:rPr>
              <w:t>（6）自然资源部关于发布《工业项目建设用地控制指标》的通知（2023版）；</w:t>
            </w:r>
          </w:p>
          <w:p>
            <w:pPr>
              <w:pStyle w:val="null3"/>
              <w:ind w:firstLine="560"/>
              <w:jc w:val="both"/>
            </w:pPr>
            <w:r>
              <w:rPr>
                <w:rFonts w:ascii="仿宋_GB2312" w:hAnsi="仿宋_GB2312" w:cs="仿宋_GB2312" w:eastAsia="仿宋_GB2312"/>
              </w:rPr>
              <w:t>（7）《节约集约利用土地规定》（国土资源部令第61号，2019年修正）；</w:t>
            </w:r>
          </w:p>
          <w:p>
            <w:pPr>
              <w:pStyle w:val="null3"/>
              <w:ind w:firstLine="560"/>
              <w:jc w:val="both"/>
            </w:pPr>
            <w:r>
              <w:rPr>
                <w:rFonts w:ascii="仿宋_GB2312" w:hAnsi="仿宋_GB2312" w:cs="仿宋_GB2312" w:eastAsia="仿宋_GB2312"/>
              </w:rPr>
              <w:t>（8）国家发展和改革委员会 自然资源部开展《中国开发区审核公告目录（2018年版）》修订工作的通知（发改外资〔2024〕1223号）；</w:t>
            </w:r>
          </w:p>
          <w:p>
            <w:pPr>
              <w:pStyle w:val="null3"/>
              <w:ind w:firstLine="560"/>
              <w:jc w:val="both"/>
            </w:pPr>
            <w:r>
              <w:rPr>
                <w:rFonts w:ascii="仿宋_GB2312" w:hAnsi="仿宋_GB2312" w:cs="仿宋_GB2312" w:eastAsia="仿宋_GB2312"/>
              </w:rPr>
              <w:t>（9）陕西省人民政府办公厅关于印发《推动制造业高质量发展实施方案》的通知（陕政办发〔2022〕1号）；</w:t>
            </w:r>
          </w:p>
          <w:p>
            <w:pPr>
              <w:pStyle w:val="null3"/>
              <w:ind w:firstLine="560"/>
              <w:jc w:val="both"/>
            </w:pPr>
            <w:r>
              <w:rPr>
                <w:rFonts w:ascii="仿宋_GB2312" w:hAnsi="仿宋_GB2312" w:cs="仿宋_GB2312" w:eastAsia="仿宋_GB2312"/>
              </w:rPr>
              <w:t>（10）《陕西省人民政府关于推进节约集约用地的实施意见》（陕政发〔2008〕17号）；</w:t>
            </w:r>
          </w:p>
          <w:p>
            <w:pPr>
              <w:pStyle w:val="null3"/>
              <w:ind w:firstLine="560"/>
              <w:jc w:val="both"/>
            </w:pPr>
            <w:r>
              <w:rPr>
                <w:rFonts w:ascii="仿宋_GB2312" w:hAnsi="仿宋_GB2312" w:cs="仿宋_GB2312" w:eastAsia="仿宋_GB2312"/>
              </w:rPr>
              <w:t>（11）《陕西省国土资源厅关于用好用活产业用地政策促进园区高质量发展的通知》（陕国土资发〔2018〕118号）；</w:t>
            </w:r>
          </w:p>
          <w:p>
            <w:pPr>
              <w:pStyle w:val="null3"/>
              <w:ind w:firstLine="560"/>
              <w:jc w:val="both"/>
            </w:pPr>
            <w:r>
              <w:rPr>
                <w:rFonts w:ascii="仿宋_GB2312" w:hAnsi="仿宋_GB2312" w:cs="仿宋_GB2312" w:eastAsia="仿宋_GB2312"/>
              </w:rPr>
              <w:t>（12）《陕西省人民政府办公厅关于加强节约集约用地促进高质量发展的意见》（陕政办发〔2021〕21号）；</w:t>
            </w:r>
          </w:p>
          <w:p>
            <w:pPr>
              <w:pStyle w:val="null3"/>
              <w:ind w:firstLine="560"/>
              <w:jc w:val="both"/>
            </w:pPr>
            <w:r>
              <w:rPr>
                <w:rFonts w:ascii="仿宋_GB2312" w:hAnsi="仿宋_GB2312" w:cs="仿宋_GB2312" w:eastAsia="仿宋_GB2312"/>
              </w:rPr>
              <w:t>（13）陕西省人民政府《关于促进高新技术产业开发区高质量发展的实施意见》（陕政发﹝2021﹞8号）。</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both"/>
            </w:pPr>
            <w:r>
              <w:rPr>
                <w:rFonts w:ascii="仿宋_GB2312" w:hAnsi="仿宋_GB2312" w:cs="仿宋_GB2312" w:eastAsia="仿宋_GB2312"/>
                <w:b/>
              </w:rPr>
              <w:t>三、服务指标的具体要求</w:t>
            </w:r>
          </w:p>
          <w:p>
            <w:pPr>
              <w:pStyle w:val="null3"/>
              <w:ind w:firstLine="560"/>
              <w:jc w:val="both"/>
            </w:pPr>
            <w:r>
              <w:rPr>
                <w:rFonts w:ascii="仿宋_GB2312" w:hAnsi="仿宋_GB2312" w:cs="仿宋_GB2312" w:eastAsia="仿宋_GB2312"/>
              </w:rPr>
              <w:t>（一）总体发展规划编制</w:t>
            </w:r>
          </w:p>
          <w:p>
            <w:pPr>
              <w:pStyle w:val="null3"/>
              <w:ind w:firstLine="560"/>
              <w:jc w:val="both"/>
            </w:pPr>
            <w:r>
              <w:rPr>
                <w:rFonts w:ascii="仿宋_GB2312" w:hAnsi="仿宋_GB2312" w:cs="仿宋_GB2312" w:eastAsia="仿宋_GB2312"/>
              </w:rPr>
              <w:t>（1）理清现状。通过资料收集、现场调研、座谈访谈等方式，全面梳理渭南高新区区位条件、地形地貌、经济发展、道路交通、景观风貌、公用工程及配套等现状情况。</w:t>
            </w:r>
          </w:p>
          <w:p>
            <w:pPr>
              <w:pStyle w:val="null3"/>
              <w:ind w:firstLine="560"/>
              <w:jc w:val="both"/>
            </w:pPr>
            <w:r>
              <w:rPr>
                <w:rFonts w:ascii="仿宋_GB2312" w:hAnsi="仿宋_GB2312" w:cs="仿宋_GB2312" w:eastAsia="仿宋_GB2312"/>
              </w:rPr>
              <w:t>（2）分析相关上位规划及区域环境。对国、省、市相关上位规划及相关区域规划进行解读，总结各规划对渭南高新区未来发展方向的指引。</w:t>
            </w:r>
          </w:p>
          <w:p>
            <w:pPr>
              <w:pStyle w:val="null3"/>
              <w:ind w:firstLine="560"/>
              <w:jc w:val="both"/>
            </w:pPr>
            <w:r>
              <w:rPr>
                <w:rFonts w:ascii="仿宋_GB2312" w:hAnsi="仿宋_GB2312" w:cs="仿宋_GB2312" w:eastAsia="仿宋_GB2312"/>
              </w:rPr>
              <w:t>（3）总结优势劣势。结合相关上位规划、区域环境以及渭南高新区自身发展现状，针对渭南高新区进行swot分析，明确渭南高新区发展优势、劣势，存在挑战及未来发展机遇。</w:t>
            </w:r>
          </w:p>
          <w:p>
            <w:pPr>
              <w:pStyle w:val="null3"/>
              <w:ind w:firstLine="560"/>
              <w:jc w:val="both"/>
            </w:pPr>
            <w:r>
              <w:rPr>
                <w:rFonts w:ascii="仿宋_GB2312" w:hAnsi="仿宋_GB2312" w:cs="仿宋_GB2312" w:eastAsia="仿宋_GB2312"/>
              </w:rPr>
              <w:t>（4）明确发展定位与目标。从经济、社会、环境等方面，提出规划近期年及规划远期年发展目标及具体指标体系。</w:t>
            </w:r>
          </w:p>
          <w:p>
            <w:pPr>
              <w:pStyle w:val="null3"/>
              <w:ind w:firstLine="560"/>
              <w:jc w:val="both"/>
            </w:pPr>
            <w:r>
              <w:rPr>
                <w:rFonts w:ascii="仿宋_GB2312" w:hAnsi="仿宋_GB2312" w:cs="仿宋_GB2312" w:eastAsia="仿宋_GB2312"/>
              </w:rPr>
              <w:t>（5）确定发展规模。以现状人口为基础数据，通过单位用地指标法、相关分析法等多种方法综合计算规划近期及规划远期人口规模。</w:t>
            </w:r>
          </w:p>
          <w:p>
            <w:pPr>
              <w:pStyle w:val="null3"/>
              <w:ind w:firstLine="560"/>
              <w:jc w:val="both"/>
            </w:pPr>
            <w:r>
              <w:rPr>
                <w:rFonts w:ascii="仿宋_GB2312" w:hAnsi="仿宋_GB2312" w:cs="仿宋_GB2312" w:eastAsia="仿宋_GB2312"/>
              </w:rPr>
              <w:t>（6）明确产业发展重点。立足渭南高新区在区域、省、市中的特色优势、功能定位、发展使命等，明确渭南高新区产业定位及产业发展方向。</w:t>
            </w:r>
          </w:p>
          <w:p>
            <w:pPr>
              <w:pStyle w:val="null3"/>
              <w:ind w:firstLine="560"/>
              <w:jc w:val="both"/>
            </w:pPr>
            <w:r>
              <w:rPr>
                <w:rFonts w:ascii="仿宋_GB2312" w:hAnsi="仿宋_GB2312" w:cs="仿宋_GB2312" w:eastAsia="仿宋_GB2312"/>
              </w:rPr>
              <w:t>（7）明确用地布局。按照方便使用、服务区域、兼顾周边的原则，统一配套办公、商业、研发等，并与产业用地合理分区、有机联系。</w:t>
            </w:r>
          </w:p>
          <w:p>
            <w:pPr>
              <w:pStyle w:val="null3"/>
              <w:ind w:firstLine="560"/>
              <w:jc w:val="both"/>
            </w:pPr>
            <w:r>
              <w:rPr>
                <w:rFonts w:ascii="仿宋_GB2312" w:hAnsi="仿宋_GB2312" w:cs="仿宋_GB2312" w:eastAsia="仿宋_GB2312"/>
              </w:rPr>
              <w:t>（8）确定道路交通体系。规划中明确渭南高新区对外交通、道路交通体系、慢行交通系统、道路竖向及交通管理与信息化等内容。</w:t>
            </w:r>
          </w:p>
          <w:p>
            <w:pPr>
              <w:pStyle w:val="null3"/>
              <w:ind w:firstLine="560"/>
              <w:jc w:val="both"/>
            </w:pPr>
            <w:r>
              <w:rPr>
                <w:rFonts w:ascii="仿宋_GB2312" w:hAnsi="仿宋_GB2312" w:cs="仿宋_GB2312" w:eastAsia="仿宋_GB2312"/>
              </w:rPr>
              <w:t>（9）确定绿地景观系统。明确渭南高新区绿地指标、绿化设计指引、绿化树种配置等内容。</w:t>
            </w:r>
          </w:p>
          <w:p>
            <w:pPr>
              <w:pStyle w:val="null3"/>
              <w:ind w:firstLine="560"/>
              <w:jc w:val="both"/>
            </w:pPr>
            <w:r>
              <w:rPr>
                <w:rFonts w:ascii="仿宋_GB2312" w:hAnsi="仿宋_GB2312" w:cs="仿宋_GB2312" w:eastAsia="仿宋_GB2312"/>
              </w:rPr>
              <w:t>（10）明确城市风貌。结合上位规划及渭南高新区现状，确定渭南高新区整体风貌。</w:t>
            </w:r>
          </w:p>
          <w:p>
            <w:pPr>
              <w:pStyle w:val="null3"/>
              <w:ind w:firstLine="560"/>
              <w:jc w:val="both"/>
            </w:pPr>
            <w:r>
              <w:rPr>
                <w:rFonts w:ascii="仿宋_GB2312" w:hAnsi="仿宋_GB2312" w:cs="仿宋_GB2312" w:eastAsia="仿宋_GB2312"/>
              </w:rPr>
              <w:t>（11）确定市政基础设施。根据确定的发展目标、规模和总体布局以及本系统上级主管部门的发展规划综合协调并确定供水、排水、防洪、供电、通信、燃气、供热、消防、环卫等设施的规模和布局。</w:t>
            </w:r>
          </w:p>
          <w:p>
            <w:pPr>
              <w:pStyle w:val="null3"/>
              <w:ind w:firstLine="560"/>
              <w:jc w:val="both"/>
            </w:pPr>
            <w:r>
              <w:rPr>
                <w:rFonts w:ascii="仿宋_GB2312" w:hAnsi="仿宋_GB2312" w:cs="仿宋_GB2312" w:eastAsia="仿宋_GB2312"/>
              </w:rPr>
              <w:t>（12）明确环境保护目标。明确渭南高新区大气环境保护目标、水环境保护目标、固体废弃物综合整治目标以及声环境保护等目标。</w:t>
            </w:r>
          </w:p>
          <w:p>
            <w:pPr>
              <w:pStyle w:val="null3"/>
              <w:ind w:firstLine="560"/>
              <w:jc w:val="both"/>
            </w:pPr>
            <w:r>
              <w:rPr>
                <w:rFonts w:ascii="仿宋_GB2312" w:hAnsi="仿宋_GB2312" w:cs="仿宋_GB2312" w:eastAsia="仿宋_GB2312"/>
              </w:rPr>
              <w:t>（13）明确综合防灾标准。完善防灾减灾应急系统，建设防灾减灾体系，确保安全，全面提升综合防灾减灾能力。</w:t>
            </w:r>
          </w:p>
          <w:p>
            <w:pPr>
              <w:pStyle w:val="null3"/>
              <w:ind w:firstLine="560"/>
              <w:jc w:val="both"/>
            </w:pPr>
            <w:r>
              <w:rPr>
                <w:rFonts w:ascii="仿宋_GB2312" w:hAnsi="仿宋_GB2312" w:cs="仿宋_GB2312" w:eastAsia="仿宋_GB2312"/>
              </w:rPr>
              <w:t>（14）确定近期建设内容。明确渭南高新区近期建设目标、近期发展方向、近期建设规模以及近期重点建设项目等内容。</w:t>
            </w:r>
          </w:p>
          <w:p>
            <w:pPr>
              <w:pStyle w:val="null3"/>
              <w:ind w:firstLine="560"/>
              <w:jc w:val="both"/>
            </w:pPr>
            <w:r>
              <w:rPr>
                <w:rFonts w:ascii="仿宋_GB2312" w:hAnsi="仿宋_GB2312" w:cs="仿宋_GB2312" w:eastAsia="仿宋_GB2312"/>
              </w:rPr>
              <w:t>（二）其他服务内容</w:t>
            </w:r>
          </w:p>
          <w:p>
            <w:pPr>
              <w:pStyle w:val="null3"/>
              <w:ind w:firstLine="560"/>
              <w:jc w:val="both"/>
            </w:pPr>
            <w:r>
              <w:rPr>
                <w:rFonts w:ascii="仿宋_GB2312" w:hAnsi="仿宋_GB2312" w:cs="仿宋_GB2312" w:eastAsia="仿宋_GB2312"/>
              </w:rPr>
              <w:t>与产业发展规划、土地集约利用评价报告、规划环境影响报告书等相关报告编制单位进行沟通协调，确保创建工作整体进展。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2"/>
              <w:jc w:val="both"/>
            </w:pPr>
            <w:r>
              <w:rPr>
                <w:rFonts w:ascii="仿宋_GB2312" w:hAnsi="仿宋_GB2312" w:cs="仿宋_GB2312" w:eastAsia="仿宋_GB2312"/>
                <w:b/>
              </w:rPr>
              <w:t>四、服务质量标准、期限、效率等要求：</w:t>
            </w:r>
          </w:p>
          <w:p>
            <w:pPr>
              <w:pStyle w:val="null3"/>
              <w:ind w:firstLine="560"/>
              <w:jc w:val="both"/>
            </w:pPr>
            <w:r>
              <w:rPr>
                <w:rFonts w:ascii="仿宋_GB2312" w:hAnsi="仿宋_GB2312" w:cs="仿宋_GB2312" w:eastAsia="仿宋_GB2312"/>
              </w:rPr>
              <w:t>1、服务质量标准：符合现行国家及行业相关规范及标准。</w:t>
            </w:r>
          </w:p>
          <w:p>
            <w:pPr>
              <w:pStyle w:val="null3"/>
              <w:ind w:firstLine="560"/>
              <w:jc w:val="both"/>
            </w:pPr>
            <w:r>
              <w:rPr>
                <w:rFonts w:ascii="仿宋_GB2312" w:hAnsi="仿宋_GB2312" w:cs="仿宋_GB2312" w:eastAsia="仿宋_GB2312"/>
              </w:rPr>
              <w:t>2、服务期限：合同签订之日起90日历天。</w:t>
            </w:r>
          </w:p>
          <w:p>
            <w:pPr>
              <w:pStyle w:val="null3"/>
              <w:ind w:firstLine="560"/>
              <w:jc w:val="both"/>
            </w:pPr>
            <w:r>
              <w:rPr>
                <w:rFonts w:ascii="仿宋_GB2312" w:hAnsi="仿宋_GB2312" w:cs="仿宋_GB2312" w:eastAsia="仿宋_GB2312"/>
              </w:rPr>
              <w:t>3、服务效率：在约定期间内按要求完成渭南高新区调区扩区总体发展规划编制工作，并对成果质量负责，确保成果的合理性、一致性和规范性。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555"/>
              <w:jc w:val="both"/>
            </w:pPr>
            <w:r>
              <w:rPr>
                <w:rFonts w:ascii="仿宋_GB2312" w:hAnsi="仿宋_GB2312" w:cs="仿宋_GB2312" w:eastAsia="仿宋_GB2312"/>
                <w:b/>
              </w:rPr>
              <w:t>五、付款方式：</w:t>
            </w:r>
          </w:p>
          <w:p>
            <w:pPr>
              <w:pStyle w:val="null3"/>
              <w:ind w:firstLine="560"/>
              <w:jc w:val="both"/>
            </w:pPr>
            <w:r>
              <w:rPr>
                <w:rFonts w:ascii="仿宋_GB2312" w:hAnsi="仿宋_GB2312" w:cs="仿宋_GB2312" w:eastAsia="仿宋_GB2312"/>
              </w:rPr>
              <w:t>签订合同后，中标（成交）供应商提交初稿后三十日内支付至合同总价的30%，通过专家评审后十日内支付至合同总价的 80%，获得批复并递交最终稿后三十日内支付至合同总价100%。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2"/>
              <w:jc w:val="both"/>
            </w:pPr>
            <w:r>
              <w:rPr>
                <w:rFonts w:ascii="仿宋_GB2312" w:hAnsi="仿宋_GB2312" w:cs="仿宋_GB2312" w:eastAsia="仿宋_GB2312"/>
                <w:b/>
              </w:rPr>
              <w:t>六、验收标准</w:t>
            </w:r>
          </w:p>
          <w:p>
            <w:pPr>
              <w:pStyle w:val="null3"/>
              <w:ind w:firstLine="560"/>
              <w:jc w:val="both"/>
            </w:pPr>
            <w:r>
              <w:rPr>
                <w:rFonts w:ascii="仿宋_GB2312" w:hAnsi="仿宋_GB2312" w:cs="仿宋_GB2312" w:eastAsia="仿宋_GB2312"/>
              </w:rPr>
              <w:t>1、成果要求</w:t>
            </w:r>
          </w:p>
          <w:p>
            <w:pPr>
              <w:pStyle w:val="null3"/>
              <w:ind w:firstLine="560"/>
              <w:jc w:val="both"/>
            </w:pPr>
            <w:r>
              <w:rPr>
                <w:rFonts w:ascii="仿宋_GB2312" w:hAnsi="仿宋_GB2312" w:cs="仿宋_GB2312" w:eastAsia="仿宋_GB2312"/>
              </w:rPr>
              <w:t>（1）渭南高新技术产业开发区总体发展规划文本；</w:t>
            </w:r>
          </w:p>
          <w:p>
            <w:pPr>
              <w:pStyle w:val="null3"/>
              <w:ind w:firstLine="560"/>
              <w:jc w:val="both"/>
            </w:pPr>
            <w:r>
              <w:rPr>
                <w:rFonts w:ascii="仿宋_GB2312" w:hAnsi="仿宋_GB2312" w:cs="仿宋_GB2312" w:eastAsia="仿宋_GB2312"/>
              </w:rPr>
              <w:t>（2）渭南高新技术产业开发区总体发展规划说明书；</w:t>
            </w:r>
          </w:p>
          <w:p>
            <w:pPr>
              <w:pStyle w:val="null3"/>
              <w:ind w:firstLine="560"/>
              <w:jc w:val="both"/>
            </w:pPr>
            <w:r>
              <w:rPr>
                <w:rFonts w:ascii="仿宋_GB2312" w:hAnsi="仿宋_GB2312" w:cs="仿宋_GB2312" w:eastAsia="仿宋_GB2312"/>
              </w:rPr>
              <w:t>（3）渭南高新技术产业开发区总体发展规划相关图件。</w:t>
            </w:r>
          </w:p>
          <w:p>
            <w:pPr>
              <w:pStyle w:val="null3"/>
              <w:ind w:firstLine="560"/>
              <w:jc w:val="both"/>
            </w:pPr>
            <w:r>
              <w:rPr>
                <w:rFonts w:ascii="仿宋_GB2312" w:hAnsi="仿宋_GB2312" w:cs="仿宋_GB2312" w:eastAsia="仿宋_GB2312"/>
              </w:rPr>
              <w:t>2、验收标准</w:t>
            </w:r>
          </w:p>
          <w:p>
            <w:pPr>
              <w:pStyle w:val="null3"/>
              <w:ind w:firstLine="560"/>
              <w:jc w:val="both"/>
            </w:pPr>
            <w:r>
              <w:rPr>
                <w:rFonts w:ascii="仿宋_GB2312" w:hAnsi="仿宋_GB2312" w:cs="仿宋_GB2312" w:eastAsia="仿宋_GB2312"/>
              </w:rPr>
              <w:t>满足采购人需求且符合现行国家及行业相关规范及标准。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1、服务质量标准：符合现行国家及行业相关规范及标准； 2、服务效率：在约定期间内按要求完成渭南高新区调区扩区总体发展规划编制工作，并对成果质量负责，确保成果的合理性、一致性和规范性。</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（1）渭南高新技术产业开发区总体发展规划文本； （2）渭南高新技术产业开发区总体发展规划说明书； （3）渭南高新技术产业开发区总体发展规划相关图件。 2、验收标准 满足采购人需求且符合现行国家及行业相关规范及标准。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签订合同后，中标（成交）供应商提交初稿后三十日内支付至合同总价的30%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通过专家评审后十日内支付至合同总价的 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获得批复并递交最终稿后三十日内支付至合同总价100%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 面履行合同义务或拒绝继续履行合同义务，造成活动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报价是供应商响应本项目要求的全部工作内容的价格体现，包括供应商完成本项目所需的人工费、设备费、管理费、利润和税金等全部费用。在提供服务的过程中的任何遗漏，均由成交供应商免费提供，采购人将不再支付任何费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3、本项目落实政府采购政策： （1）《政府采购促进中小企业发展管理办法》（财库〔2020〕46号） （2）《关于进一步加大政府采购支持中小企业力度的通知》（财库〔2022〕19号） （3）《关于政府采购支持监狱企业发展有关问题的通知》（财库〔2014〕68号） （4）《关于促进残疾人就业政府采购政策的通知》（财库〔2017〕141号） （5）《财政部发展改革委生态环境部市场监管总局关于调整优化节能产品、环境标志产品政府采购执行机制的通知》（财库〔2019〕9号） （6）《关于印发环境标志产品政府采购品目清单的通知》（财库〔2019〕18号） （7）《关于印发节能产品政府采购品目清单的通知》（财库〔2019〕19号） （8）《财政部农业农村部国家乡村振兴局关于运用政府采购政策支持乡村产业振兴的通知》（财库〔2021〕19号） （9）《关于深入开展政府采购脱贫地区农副产品工作推进乡村产业振兴的实施意见》（财库〔2021〕20号） （10）《陕西省财政厅关于加快推进我省中小企业政府采购信用融资工作的通知》（陕财办采〔2020〕15号） （11）《陕西省财政厅关于印发陕西省中小企业政府采购信用融资办法》（陕财办采〔2018〕23号） （12）《陕西省财政厅关于进一步加强政府绿色采购有关问题的通知》（陕财办采〔2021〕29号） （13）《商品包装政府采购需求标准（试行）》和《快递包装政府采购需求标准（试行）》（财办库〔2020〕123号） （14）《数据库政府采购需求标准（2023年版）》（财库〔2023〕35号） （15）其他需要落实的政府采购政策。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1.1供应商应具有独立承担民事责任的能力，提供合法有效的营业执照；供应商需在项目电子化交易系统中按要求上传相应证明文件并进行电子签章。 1.2供应商提供2023年度或2024年度经审计的财务审计报告；或提供磋商响应文件递交截止时间前三个月内基本存款账户银行出具的资信证明及基本存款账户银行相关证明资料；或提供政府采购专业担保机构出具的投标担保函；（以上三种形式的资料提供任何一种即可）；供应商需在项目电子化交易系统中按要求上传相应证明文件并进行电子签章。 1.3具有履行合同所必需的设备和专业技术能力书面声明函；供应商需在项目电子化交易系统中按要求上传相应证明文件并进行电子签章。 1.4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供应商需在项目电子化交易系统中按要求上传相应证明文件并进行电子签章。 1.5参加政府采购活动前3年内在经营活动中没有重大违法记录的书面声明；供应商需在项目电子化交易系统中按要求上传相应证明文件并进行电子签章。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供应商具有城乡规划编制乙级及以上资质；供应商需在项目电子化交易系统中按要求上传相应证明文件并进行电子签章。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供应商拟派项目负责人须具有注册城乡规划师执业资格或城乡规划类专业中级及以上技术职称，为本单位在职人员，提供在本单位缴纳社保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①单位负责人为同一人或者存在控股、管理关系的不同单位，不得参加同一合同项下的政府采购活动。 ②为本项目提供整体设计、规范编制或者项目管理、监理、检测等服务的供应商，不得再参加本项目的采购活动。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磋商保证金.docx 中小企业声明函 商务应答表 服务内容及服务要求应答表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 标的清单 服务内容及服务要求应答表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w:t>
            </w:r>
          </w:p>
        </w:tc>
        <w:tc>
          <w:tcPr>
            <w:tcW w:type="dxa" w:w="3322"/>
          </w:tcPr>
          <w:p>
            <w:pPr>
              <w:pStyle w:val="null3"/>
            </w:pPr>
            <w:r>
              <w:rPr>
                <w:rFonts w:ascii="仿宋_GB2312" w:hAnsi="仿宋_GB2312" w:cs="仿宋_GB2312" w:eastAsia="仿宋_GB2312"/>
              </w:rPr>
              <w:t>实质性条款全部响应，不能有任何采购人不能接受的附加条件</w:t>
            </w:r>
          </w:p>
        </w:tc>
        <w:tc>
          <w:tcPr>
            <w:tcW w:type="dxa" w:w="1661"/>
          </w:tcPr>
          <w:p>
            <w:pPr>
              <w:pStyle w:val="null3"/>
            </w:pPr>
            <w:r>
              <w:rPr>
                <w:rFonts w:ascii="仿宋_GB2312" w:hAnsi="仿宋_GB2312" w:cs="仿宋_GB2312" w:eastAsia="仿宋_GB2312"/>
              </w:rPr>
              <w:t>商务应答表 服务内容及服务要求应答表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磋商保证金.docx 中小企业声明函 商务应答表 服务内容及服务要求应答表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的项目团队人员（项目负责人除外）具有注册城乡规划师执业资格或规划、建筑、市政、交通相关专业中级及以上技术职称（不少于6人），得6分，每减少1人扣1分，扣完为止；在满足6人的基础上，每增加1人加2分；本项满分10分。 评审依据：以响应文件中加盖公章的人员证件复印件为准，上述所有人员均须提供供应商为其缴纳社保的证明材料并加盖公章，否则不得分。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2022年1月1日至今类似项目业绩，每提供1个计1分， 满分5 分； 评审依据：以合同签订时间为准，提供合同复印件加盖投标供应商公章。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项目背景及现状分析</w:t>
            </w:r>
          </w:p>
        </w:tc>
        <w:tc>
          <w:tcPr>
            <w:tcW w:type="dxa" w:w="2492"/>
          </w:tcPr>
          <w:p>
            <w:pPr>
              <w:pStyle w:val="null3"/>
            </w:pPr>
            <w:r>
              <w:rPr>
                <w:rFonts w:ascii="仿宋_GB2312" w:hAnsi="仿宋_GB2312" w:cs="仿宋_GB2312" w:eastAsia="仿宋_GB2312"/>
              </w:rPr>
              <w:t>根据供应商对项目实施地的规划背景和相关基础情况；充分了解本项目工作内容；对本项目现状及规划的分析准确进行评审：内容包括①自然生态；②历史人文；③产业发展；④人口概况；⑤交通系统；⑥土地资源的现状分析。每一项内容描述详细内容全面得2分，满分12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研究方法路线</w:t>
            </w:r>
          </w:p>
        </w:tc>
        <w:tc>
          <w:tcPr>
            <w:tcW w:type="dxa" w:w="2492"/>
          </w:tcPr>
          <w:p>
            <w:pPr>
              <w:pStyle w:val="null3"/>
            </w:pPr>
            <w:r>
              <w:rPr>
                <w:rFonts w:ascii="仿宋_GB2312" w:hAnsi="仿宋_GB2312" w:cs="仿宋_GB2312" w:eastAsia="仿宋_GB2312"/>
              </w:rPr>
              <w:t>内容包括：①规划编制的指导思想、原则；②工作技术路线；③提出的研究内容。每一项内容描述详细内容全面得3分，满分9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根据供应商对本项目的实施计划、技术方案规划内容及其他必要的相关分析等方面服务进行综合考量评定:内容包括①发展定位与目标；②产业发展重点；③用地布局；④道路交通；⑤城市风貌；⑥市政基础设施；⑦近期建设内容。每一项内容描述详细内容全面得3分，满分21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进度计划、质量保障措施和保密措施</w:t>
            </w:r>
          </w:p>
        </w:tc>
        <w:tc>
          <w:tcPr>
            <w:tcW w:type="dxa" w:w="2492"/>
          </w:tcPr>
          <w:p>
            <w:pPr>
              <w:pStyle w:val="null3"/>
            </w:pPr>
            <w:r>
              <w:rPr>
                <w:rFonts w:ascii="仿宋_GB2312" w:hAnsi="仿宋_GB2312" w:cs="仿宋_GB2312" w:eastAsia="仿宋_GB2312"/>
              </w:rPr>
              <w:t>根据供应商提供的计划安排合理性、质量保障措施和保密措施进行评审：内容包括①项目进度计划；②质量保障措施；③保密措施。每一项内容描述详细内容全面得3分，满分9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对照采购需求，根据供应商对项目重难点分析进行评审： 1.能根据采购需求列举本项目的重难点，每列举一项得1分，本小项最高得5分； 2.根据上述的重难点提出相应的措施建议，每提出一条有效解决措施得1分，本小项最高得5分。 1、2项合计最高得10分。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根据供应商提供的后续服务承诺进行评审：内容包括①服务周期承诺；②后续服务承诺。每一项内容描述详细内容全面得2分，满分4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价格分采用低价优先法计算，即满足竞争性磋商文件要求且最后报价最低的供应商的价格为评审基准价，其价格分为满分。其他供应商的价格分统一按照下列公式计算： 报价得分=（评审基准价/最后报价）×价格权值（即20%）×100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