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3738FA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编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制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说</w:t>
      </w:r>
      <w:r>
        <w:rPr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明</w:t>
      </w:r>
    </w:p>
    <w:p w14:paraId="2F636796">
      <w:pPr>
        <w:spacing w:line="360" w:lineRule="auto"/>
        <w:rPr>
          <w:rFonts w:hint="eastAsia" w:ascii="仿宋" w:hAnsi="仿宋" w:eastAsia="仿宋"/>
          <w:b/>
          <w:sz w:val="28"/>
          <w:szCs w:val="28"/>
        </w:rPr>
      </w:pPr>
      <w:bookmarkStart w:id="0" w:name="OLE_LINK3"/>
      <w:r>
        <w:rPr>
          <w:rFonts w:hint="eastAsia" w:ascii="仿宋" w:hAnsi="仿宋" w:eastAsia="仿宋"/>
          <w:b/>
          <w:sz w:val="28"/>
          <w:szCs w:val="28"/>
        </w:rPr>
        <w:t>一、工程概况</w:t>
      </w:r>
    </w:p>
    <w:p w14:paraId="4DBE09C2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1、工程名称: </w:t>
      </w:r>
      <w:bookmarkStart w:id="1" w:name="OLE_LINK2"/>
      <w:r>
        <w:rPr>
          <w:rFonts w:hint="eastAsia" w:ascii="仿宋" w:hAnsi="仿宋" w:eastAsia="仿宋"/>
          <w:color w:val="000000"/>
          <w:sz w:val="28"/>
          <w:szCs w:val="28"/>
        </w:rPr>
        <w:t>渭南市政协机关办公楼及基础设施加固修缮项目</w:t>
      </w:r>
      <w:bookmarkEnd w:id="1"/>
    </w:p>
    <w:p w14:paraId="0B4C74C9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2、建设单位:</w:t>
      </w:r>
      <w:r>
        <w:rPr>
          <w:rFonts w:hint="eastAsia"/>
        </w:rPr>
        <w:t xml:space="preserve"> </w:t>
      </w:r>
      <w:r>
        <w:rPr>
          <w:rFonts w:hint="eastAsia" w:ascii="仿宋" w:hAnsi="仿宋" w:eastAsia="仿宋"/>
          <w:color w:val="000000"/>
          <w:sz w:val="28"/>
          <w:szCs w:val="28"/>
        </w:rPr>
        <w:t>中国人民政治协商会议陕西省渭南市委员会办公室</w:t>
      </w:r>
    </w:p>
    <w:p w14:paraId="65B2A1F7">
      <w:pPr>
        <w:spacing w:line="360" w:lineRule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3、建设地点: </w:t>
      </w:r>
      <w:bookmarkStart w:id="2" w:name="OLE_LINK1"/>
      <w:r>
        <w:rPr>
          <w:rFonts w:hint="eastAsia" w:ascii="仿宋" w:hAnsi="仿宋" w:eastAsia="仿宋"/>
          <w:color w:val="000000"/>
          <w:sz w:val="28"/>
          <w:szCs w:val="28"/>
        </w:rPr>
        <w:t>陕西省渭南市</w:t>
      </w:r>
      <w:bookmarkEnd w:id="2"/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广场南路6号</w:t>
      </w:r>
    </w:p>
    <w:p w14:paraId="0D628CD6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4、建筑规模: 主要内容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为</w:t>
      </w:r>
      <w:r>
        <w:rPr>
          <w:rFonts w:hint="eastAsia" w:ascii="仿宋" w:hAnsi="仿宋" w:eastAsia="仿宋"/>
          <w:color w:val="000000"/>
          <w:sz w:val="28"/>
          <w:szCs w:val="28"/>
        </w:rPr>
        <w:t>渭南市政协机关办公楼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室内修缮、屋檐修缮、新增钢结构电梯、电气、给排水、电梯、空调、采暖修缮安装工程；东配楼室内修缮、新增连廊、屋檐修缮、电气、给排水修缮工程；室外土建、绿化、铺装、供暖、雨水、电气工程；办公楼加固工程；东配楼加固工程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等。</w:t>
      </w:r>
    </w:p>
    <w:p w14:paraId="0E1A28EF">
      <w:pPr>
        <w:spacing w:line="360" w:lineRule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二、编制范围</w:t>
      </w:r>
    </w:p>
    <w:p w14:paraId="74808E1F">
      <w:pPr>
        <w:spacing w:line="360" w:lineRule="auto"/>
        <w:rPr>
          <w:rFonts w:hint="eastAsia" w:ascii="仿宋" w:hAnsi="仿宋" w:eastAsia="仿宋" w:cs="Times New Roman"/>
          <w:color w:val="000000"/>
          <w:sz w:val="28"/>
          <w:szCs w:val="28"/>
        </w:rPr>
      </w:pPr>
      <w:r>
        <w:rPr>
          <w:rFonts w:hint="eastAsia" w:ascii="仿宋" w:hAnsi="仿宋" w:eastAsia="仿宋" w:cs="Times New Roman"/>
          <w:color w:val="000000"/>
          <w:sz w:val="28"/>
          <w:szCs w:val="28"/>
        </w:rPr>
        <w:t>1、关于</w:t>
      </w:r>
      <w:r>
        <w:rPr>
          <w:rFonts w:hint="eastAsia" w:ascii="仿宋" w:hAnsi="仿宋" w:eastAsia="仿宋"/>
          <w:color w:val="000000"/>
          <w:sz w:val="28"/>
          <w:szCs w:val="28"/>
        </w:rPr>
        <w:t>渭南市政协机关办公楼及基础设施加固修缮项目</w:t>
      </w:r>
      <w:r>
        <w:rPr>
          <w:rFonts w:hint="eastAsia" w:ascii="仿宋" w:hAnsi="仿宋" w:eastAsia="仿宋" w:cs="Times New Roman"/>
          <w:color w:val="000000"/>
          <w:sz w:val="28"/>
          <w:szCs w:val="28"/>
          <w:lang w:val="en-US" w:eastAsia="zh-CN"/>
        </w:rPr>
        <w:t>图纸及现场实际情况</w:t>
      </w:r>
      <w:r>
        <w:rPr>
          <w:rFonts w:hint="eastAsia" w:ascii="仿宋" w:hAnsi="仿宋" w:eastAsia="仿宋" w:cs="Times New Roman"/>
          <w:color w:val="000000"/>
          <w:sz w:val="28"/>
          <w:szCs w:val="28"/>
        </w:rPr>
        <w:t>。</w:t>
      </w:r>
    </w:p>
    <w:bookmarkEnd w:id="0"/>
    <w:p w14:paraId="39F49ABF">
      <w:pPr>
        <w:spacing w:line="360" w:lineRule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三、编制依据</w:t>
      </w:r>
    </w:p>
    <w:p w14:paraId="09FCF439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1、</w:t>
      </w:r>
      <w:r>
        <w:rPr>
          <w:rFonts w:ascii="仿宋" w:hAnsi="仿宋" w:eastAsia="仿宋"/>
          <w:color w:val="000000"/>
          <w:sz w:val="28"/>
          <w:szCs w:val="28"/>
        </w:rPr>
        <w:t>依据设计</w:t>
      </w:r>
      <w:r>
        <w:rPr>
          <w:rFonts w:hint="eastAsia" w:ascii="仿宋" w:hAnsi="仿宋" w:eastAsia="仿宋"/>
          <w:color w:val="000000"/>
          <w:sz w:val="28"/>
          <w:szCs w:val="28"/>
        </w:rPr>
        <w:t>图纸、编制要求、工程特点及常规的施工组织方案</w:t>
      </w:r>
      <w:r>
        <w:rPr>
          <w:rFonts w:ascii="仿宋" w:hAnsi="仿宋" w:eastAsia="仿宋"/>
          <w:color w:val="000000"/>
          <w:sz w:val="28"/>
          <w:szCs w:val="28"/>
        </w:rPr>
        <w:t>进行编制</w:t>
      </w:r>
      <w:r>
        <w:rPr>
          <w:rFonts w:hint="eastAsia" w:ascii="仿宋" w:hAnsi="仿宋" w:eastAsia="仿宋"/>
          <w:color w:val="000000"/>
          <w:sz w:val="28"/>
          <w:szCs w:val="28"/>
        </w:rPr>
        <w:t>。</w:t>
      </w:r>
    </w:p>
    <w:p w14:paraId="46717854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2、设计图选用的相关标准图集、施工规范及验收规范。</w:t>
      </w:r>
    </w:p>
    <w:p w14:paraId="06DE4B4C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3、《陕西省建设工程工程量清单计价规则》（2009）</w:t>
      </w:r>
    </w:p>
    <w:p w14:paraId="35D875F5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4、《陕西省建设工程工程量清单计价费率》（2009）</w:t>
      </w:r>
    </w:p>
    <w:p w14:paraId="7A69E19B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5、《陕西省建筑 装饰工程消耗量定额》（2004）</w:t>
      </w:r>
    </w:p>
    <w:p w14:paraId="4262350A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  《陕西省安装工程消耗量定额》（2004）</w:t>
      </w:r>
    </w:p>
    <w:p w14:paraId="59F6BBCD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  《陕西省建设工程消耗量定额补充定额》（2004）</w:t>
      </w:r>
    </w:p>
    <w:p w14:paraId="19ABDD92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6、2009年《陕西省建筑装饰、安装工程价目表》</w:t>
      </w:r>
    </w:p>
    <w:p w14:paraId="1BE44CC5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 xml:space="preserve">   2009年《陕西省建设工程施工机械台班价目表》</w:t>
      </w:r>
    </w:p>
    <w:p w14:paraId="5DBCB3E9">
      <w:pPr>
        <w:spacing w:line="360" w:lineRule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四、计价说明</w:t>
      </w:r>
    </w:p>
    <w:p w14:paraId="57B24F22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1、执行陕建发【2017】270号文中增加临时设施费及扬尘污染治理费。</w:t>
      </w:r>
    </w:p>
    <w:p w14:paraId="79AE6A03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2、执行陕建发【2019】1246号文《关于落实建筑工人实名制管理计价依据》。</w:t>
      </w:r>
    </w:p>
    <w:p w14:paraId="4E62BDF0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color w:val="000000"/>
          <w:sz w:val="28"/>
          <w:szCs w:val="28"/>
        </w:rPr>
        <w:t>、执行陕建发【2020】1097号文《关于建筑施工安全生产责任保险费用的通知》。</w:t>
      </w:r>
    </w:p>
    <w:p w14:paraId="07A3C42D">
      <w:pPr>
        <w:spacing w:line="360" w:lineRule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color w:val="000000"/>
          <w:sz w:val="28"/>
          <w:szCs w:val="28"/>
        </w:rPr>
        <w:t>执行陕建发【2021】1021号文劳保统筹基金税后不扣除。</w:t>
      </w:r>
    </w:p>
    <w:p w14:paraId="5E107C5E">
      <w:pPr>
        <w:spacing w:line="360" w:lineRule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color w:val="000000"/>
          <w:sz w:val="28"/>
          <w:szCs w:val="28"/>
        </w:rPr>
        <w:t>、编制软件为广联达</w:t>
      </w:r>
      <w:r>
        <w:rPr>
          <w:rFonts w:ascii="仿宋" w:hAnsi="仿宋" w:eastAsia="仿宋"/>
          <w:color w:val="000000"/>
          <w:sz w:val="28"/>
          <w:szCs w:val="28"/>
        </w:rPr>
        <w:t>GCCP</w:t>
      </w:r>
      <w:r>
        <w:rPr>
          <w:rFonts w:hint="eastAsia" w:ascii="仿宋" w:hAnsi="仿宋" w:eastAsia="仿宋"/>
          <w:color w:val="000000"/>
          <w:sz w:val="28"/>
          <w:szCs w:val="28"/>
        </w:rPr>
        <w:t>6</w:t>
      </w:r>
      <w:r>
        <w:rPr>
          <w:rFonts w:ascii="仿宋" w:hAnsi="仿宋" w:eastAsia="仿宋"/>
          <w:color w:val="000000"/>
          <w:sz w:val="28"/>
          <w:szCs w:val="28"/>
        </w:rPr>
        <w:t>.0</w:t>
      </w:r>
      <w:r>
        <w:rPr>
          <w:rFonts w:hint="eastAsia" w:ascii="仿宋" w:hAnsi="仿宋" w:eastAsia="仿宋"/>
          <w:color w:val="000000"/>
          <w:sz w:val="28"/>
          <w:szCs w:val="28"/>
        </w:rPr>
        <w:t>（6</w:t>
      </w:r>
      <w:r>
        <w:rPr>
          <w:rFonts w:ascii="仿宋" w:hAnsi="仿宋" w:eastAsia="仿宋"/>
          <w:color w:val="000000"/>
          <w:sz w:val="28"/>
          <w:szCs w:val="28"/>
        </w:rPr>
        <w:t>.</w:t>
      </w:r>
      <w:r>
        <w:rPr>
          <w:rFonts w:hint="eastAsia" w:ascii="仿宋" w:hAnsi="仿宋" w:eastAsia="仿宋"/>
          <w:color w:val="000000"/>
          <w:sz w:val="28"/>
          <w:szCs w:val="28"/>
        </w:rPr>
        <w:t>41</w:t>
      </w:r>
      <w:r>
        <w:rPr>
          <w:rFonts w:ascii="仿宋" w:hAnsi="仿宋" w:eastAsia="仿宋"/>
          <w:color w:val="000000"/>
          <w:sz w:val="28"/>
          <w:szCs w:val="28"/>
        </w:rPr>
        <w:t>00.23.</w:t>
      </w:r>
      <w:r>
        <w:rPr>
          <w:rFonts w:hint="eastAsia" w:ascii="仿宋" w:hAnsi="仿宋" w:eastAsia="仿宋"/>
          <w:color w:val="000000"/>
          <w:sz w:val="28"/>
          <w:szCs w:val="28"/>
        </w:rPr>
        <w:t>12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color w:val="000000"/>
          <w:sz w:val="28"/>
          <w:szCs w:val="28"/>
        </w:rPr>
        <w:t>）。</w:t>
      </w:r>
    </w:p>
    <w:p w14:paraId="1B63B652">
      <w:pPr>
        <w:spacing w:line="360" w:lineRule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五、其他说明</w:t>
      </w:r>
    </w:p>
    <w:p w14:paraId="1E037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1）</w:t>
      </w:r>
      <w:r>
        <w:rPr>
          <w:rFonts w:hint="eastAsia" w:ascii="仿宋" w:hAnsi="仿宋" w:eastAsia="仿宋"/>
          <w:color w:val="000000"/>
          <w:sz w:val="28"/>
          <w:szCs w:val="28"/>
        </w:rPr>
        <w:t>本工程量清单所提供工程项目特征仅表达了主要工程做法，组价时应依据设计图纸、相关图集，结合招标文件，合同条款，技术规范、图纸、答疑纪要、现场实际情况、设备技术要求等进行组价;</w:t>
      </w:r>
    </w:p>
    <w:p w14:paraId="79EF25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2）</w:t>
      </w:r>
      <w:r>
        <w:rPr>
          <w:rFonts w:hint="eastAsia" w:ascii="仿宋" w:hAnsi="仿宋" w:eastAsia="仿宋"/>
          <w:color w:val="000000"/>
          <w:sz w:val="28"/>
          <w:szCs w:val="28"/>
        </w:rPr>
        <w:t>砂浆按干混预拌砂浆考虑；</w:t>
      </w:r>
    </w:p>
    <w:p w14:paraId="76C1B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（3）水电暖系统改造-电气工程</w:t>
      </w:r>
    </w:p>
    <w:p w14:paraId="6EC82E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1、计算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范围：按设计图纸所示位置进行计量计价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，新增回路与原有回路接驳按3米/回路考虑；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2、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预算包含：普通照明灯具安装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电源插座系统安装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配套线管及线缆敷设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；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3、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预算不含：应急照明系统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消防报警系统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智能化综合布线系统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；</w:t>
      </w:r>
    </w:p>
    <w:p w14:paraId="49A81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4、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原配电箱空开更换及扩容工程因设计图纸未明确规格参数，暂未纳入预算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；</w:t>
      </w:r>
    </w:p>
    <w:p w14:paraId="5E9BA5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（4）给排水工程</w:t>
      </w:r>
    </w:p>
    <w:p w14:paraId="5DBD7F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1、计算范围：按设计图纸所示位置进行计量计价；</w:t>
      </w:r>
    </w:p>
    <w:p w14:paraId="3D0BA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2、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排水系统接至建筑外墙1.5米处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；</w:t>
      </w:r>
    </w:p>
    <w:p w14:paraId="437094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3、东配楼安装计算范围为三楼大包间、小包间、配套的卫生间、洗碗区；</w:t>
      </w:r>
    </w:p>
    <w:p w14:paraId="77CC84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（5）装饰装修工程</w:t>
      </w:r>
    </w:p>
    <w:p w14:paraId="050EB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1、一层新增室内门按木门，高度2400mm计算；外门按甲级钢制防火门计算；宽度按图示尺寸计量计价。</w:t>
      </w:r>
    </w:p>
    <w:p w14:paraId="69B272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2、二至五层室内门按木门，卫生间门按铝合金门，外门为木门，高度2800mm计算；宽度按图示尺寸计量计价。</w:t>
      </w:r>
    </w:p>
    <w:p w14:paraId="6A06B0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3、拆除门洞后封堵按砌块墙体计算；</w:t>
      </w:r>
    </w:p>
    <w:p w14:paraId="57849B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4、加固部位拆除墙体后封堵按砌块墙体计算；</w:t>
      </w:r>
    </w:p>
    <w:p w14:paraId="593F5D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5、新增室内门按木门计算；新增外门窗、卷帘门按断桥铝合金门窗计算；</w:t>
      </w:r>
    </w:p>
    <w:p w14:paraId="3C829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6、室外洗车位不在本次计算范围内</w:t>
      </w:r>
    </w:p>
    <w:p w14:paraId="38CE0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7、原有室外道路拆除基层按350mm，面层按150mm混凝土路面计算；</w:t>
      </w:r>
    </w:p>
    <w:p w14:paraId="14723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8、围墙边花池拆除、新做按砌块墙体计算；</w:t>
      </w:r>
    </w:p>
    <w:p w14:paraId="471BC8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bookmarkStart w:id="3" w:name="OLE_LINK4"/>
      <w:bookmarkStart w:id="4" w:name="_GoBack"/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（6）暂列金按30000元计入</w:t>
      </w:r>
    </w:p>
    <w:p w14:paraId="50C6A5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（7）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充电桩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暂按20000元计入</w:t>
      </w:r>
    </w:p>
    <w:p w14:paraId="355240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（8）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管道冲洗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暂按50000元计入</w:t>
      </w:r>
    </w:p>
    <w:p w14:paraId="7C7B7C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（9）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门禁信息系统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暂按10000元计入</w:t>
      </w:r>
    </w:p>
    <w:p w14:paraId="13AD9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（10）</w:t>
      </w:r>
      <w: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  <w:t>东配楼一层加固后食堂恢复建设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暂按200000元计入</w:t>
      </w:r>
    </w:p>
    <w:p w14:paraId="368413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（11）零星用工暂按10个工日计入</w:t>
      </w:r>
      <w:bookmarkEnd w:id="4"/>
    </w:p>
    <w:bookmarkEnd w:id="3"/>
    <w:p w14:paraId="765259E5">
      <w:pPr>
        <w:spacing w:line="360" w:lineRule="auto"/>
        <w:ind w:left="720" w:leftChars="343" w:firstLine="480" w:firstLineChars="200"/>
        <w:rPr>
          <w:rFonts w:hint="eastAsia" w:ascii="宋体" w:hAnsi="宋体"/>
          <w:sz w:val="24"/>
        </w:rPr>
      </w:pPr>
    </w:p>
    <w:p w14:paraId="52EF6DE4">
      <w:pPr>
        <w:rPr>
          <w:rFonts w:hint="default" w:ascii="仿宋" w:hAnsi="仿宋" w:eastAsia="仿宋"/>
          <w:color w:val="000000"/>
          <w:sz w:val="28"/>
          <w:szCs w:val="28"/>
          <w:lang w:val="en-US" w:eastAsia="zh-CN"/>
        </w:rPr>
      </w:pPr>
    </w:p>
    <w:p w14:paraId="668D8ADD">
      <w:pPr>
        <w:rPr>
          <w:rFonts w:hint="eastAsia" w:ascii="仿宋" w:hAnsi="仿宋" w:eastAsia="仿宋"/>
          <w:color w:val="000000"/>
          <w:sz w:val="28"/>
          <w:szCs w:val="28"/>
        </w:rPr>
      </w:pPr>
    </w:p>
    <w:p w14:paraId="0CC99FF7"/>
    <w:p w14:paraId="42E14B32"/>
    <w:sectPr>
      <w:headerReference r:id="rId3" w:type="default"/>
      <w:pgSz w:w="11906" w:h="16838"/>
      <w:pgMar w:top="1276" w:right="1134" w:bottom="1440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1A98D6"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xNWQ1NGUxOTQ3YTViZGMxNzI1ZmMxNjVhYzFhZDcifQ=="/>
  </w:docVars>
  <w:rsids>
    <w:rsidRoot w:val="21572E1C"/>
    <w:rsid w:val="0C084FCE"/>
    <w:rsid w:val="2157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1194</Words>
  <Characters>1276</Characters>
  <Lines>0</Lines>
  <Paragraphs>0</Paragraphs>
  <TotalTime>0</TotalTime>
  <ScaleCrop>false</ScaleCrop>
  <LinksUpToDate>false</LinksUpToDate>
  <CharactersWithSpaces>1293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2025-05-30T01:45:00Z</dcterms:created>
  <dc:creator>安静了</dc:creator>
  <cp:lastModifiedBy>安静了</cp:lastModifiedBy>
  <dcterms:modified xsi:type="dcterms:W3CDTF">2025-05-30T02:19:19Z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258C084846A34BD99295B6D114FBA6F4_11</vt:lpwstr>
  </property>
</Properties>
</file>