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版本号：ZCSP-渭南市-2025-0029020250506001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渭南市政务服务大厅硬件保障及网络维护服务项目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ZCSP-渭南市-2025-00290</w:t>
      </w:r>
      <w:r>
        <w:br/>
      </w:r>
      <w:r>
        <w:br/>
      </w:r>
      <w:r>
        <w:br/>
      </w:r>
    </w:p>
    <w:p>
      <w:pPr>
        <w:pStyle w:val="null3"/>
        <w:jc w:val="center"/>
        <w:outlineLvl w:val="2"/>
      </w:pPr>
      <w:r>
        <w:rPr>
          <w:rFonts w:ascii="仿宋_GB2312" w:hAnsi="仿宋_GB2312" w:cs="仿宋_GB2312" w:eastAsia="仿宋_GB2312"/>
          <w:sz w:val="28"/>
          <w:b/>
        </w:rPr>
        <w:t>渭南市政务服务中心</w:t>
      </w:r>
    </w:p>
    <w:p>
      <w:pPr>
        <w:pStyle w:val="null3"/>
        <w:jc w:val="center"/>
        <w:outlineLvl w:val="2"/>
      </w:pPr>
      <w:r>
        <w:rPr>
          <w:rFonts w:ascii="仿宋_GB2312" w:hAnsi="仿宋_GB2312" w:cs="仿宋_GB2312" w:eastAsia="仿宋_GB2312"/>
          <w:sz w:val="28"/>
          <w:b/>
        </w:rPr>
        <w:t>西北国际项目管理有限公司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西北国际项目管理有限公司</w:t>
      </w:r>
      <w:r>
        <w:rPr>
          <w:rFonts w:ascii="仿宋_GB2312" w:hAnsi="仿宋_GB2312" w:cs="仿宋_GB2312" w:eastAsia="仿宋_GB2312"/>
        </w:rPr>
        <w:t>（以下简称“代理机构”）受</w:t>
      </w:r>
      <w:r>
        <w:rPr>
          <w:rFonts w:ascii="仿宋_GB2312" w:hAnsi="仿宋_GB2312" w:cs="仿宋_GB2312" w:eastAsia="仿宋_GB2312"/>
        </w:rPr>
        <w:t>渭南市政务服务中心</w:t>
      </w:r>
      <w:r>
        <w:rPr>
          <w:rFonts w:ascii="仿宋_GB2312" w:hAnsi="仿宋_GB2312" w:cs="仿宋_GB2312" w:eastAsia="仿宋_GB2312"/>
        </w:rPr>
        <w:t>委托，拟对</w:t>
      </w:r>
      <w:r>
        <w:rPr>
          <w:rFonts w:ascii="仿宋_GB2312" w:hAnsi="仿宋_GB2312" w:cs="仿宋_GB2312" w:eastAsia="仿宋_GB2312"/>
        </w:rPr>
        <w:t>渭南市政务服务大厅硬件保障及网络维护服务项目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ZCSP-渭南市-2025-00290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渭南市政务服务大厅硬件保障及网络维护服务项目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保障政务服务大厅各类设施设备的正常运行，确保大厅各项工作顺利开展，全面提升政务服务大厅网络与信息系统的安全性、稳定性和可靠性，建立健全网络安全防护体系，提升政务服务大厅网络运维水平及应急处置能力，现计划对大厅设施设备及网络与信息系统运行维护和安全服务进行采购，为政务服务大厅提供全方位、多层次、立体化的硬件和网络信息系统运行维护安全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1、营业执照：供应商须为具有独立承担民事责任能力的法人、其他组织或自然人，并提供有效的统一社会信用代码的营业执照或事业单位法人证书等国家规定的相关证明，自然人参与的提供其身份证明；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人授权：供应商应授权合法的人员参加竞争性磋商全过程，其中法定代表人直接参加竞争性磋商的，须出具法人身份证，并与营业执照上信息一致。法定代表人授权代表参加竞争性磋商的，须出具法定代表人授权书及授权代表身份证；</w:t>
      </w:r>
    </w:p>
    <w:p>
      <w:pPr>
        <w:pStyle w:val="null3"/>
      </w:pPr>
      <w:r>
        <w:rPr>
          <w:rFonts w:ascii="仿宋_GB2312" w:hAnsi="仿宋_GB2312" w:cs="仿宋_GB2312" w:eastAsia="仿宋_GB2312"/>
        </w:rPr>
        <w:t>3、税收缴纳证明和社会保障资金缴纳证明：①税收缴纳证明：提供截止至开标时间前一年内已缴纳的至少一个月的纳税证明或完税证明，依法免税的单位应提供相关证明材料；②社会保障资金缴纳证明：提供截止至开标时间前一年内至今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财务状况报告：提供2023或2024年度财务审计报告（成立时间至提交响应文件截止时间不足一年的可提供成立后任意时段的资产负债表）或其基本存款账户开户银行出具的开标前六个月内资信证明及基本存款账户的开户证明；</w:t>
      </w:r>
    </w:p>
    <w:p>
      <w:pPr>
        <w:pStyle w:val="null3"/>
      </w:pPr>
      <w:r>
        <w:rPr>
          <w:rFonts w:ascii="仿宋_GB2312" w:hAnsi="仿宋_GB2312" w:cs="仿宋_GB2312" w:eastAsia="仿宋_GB2312"/>
        </w:rPr>
        <w:t>5、供应商信誉要求：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w:t>
      </w:r>
    </w:p>
    <w:p>
      <w:pPr>
        <w:pStyle w:val="null3"/>
      </w:pPr>
      <w:r>
        <w:rPr>
          <w:rFonts w:ascii="仿宋_GB2312" w:hAnsi="仿宋_GB2312" w:cs="仿宋_GB2312" w:eastAsia="仿宋_GB2312"/>
        </w:rPr>
        <w:t>6、提供参加本次政府采购活动前三年内在经营活动中没有重大违法记录的书面声明；：提供参加本次政府采购活动前三年内在经营活动中没有重大违法记录的书面声明；</w:t>
      </w:r>
    </w:p>
    <w:p>
      <w:pPr>
        <w:pStyle w:val="null3"/>
      </w:pPr>
      <w:r>
        <w:rPr>
          <w:rFonts w:ascii="仿宋_GB2312" w:hAnsi="仿宋_GB2312" w:cs="仿宋_GB2312" w:eastAsia="仿宋_GB2312"/>
        </w:rPr>
        <w:t>7、提供具有履行合同所必须的设备和专业技术能力的承诺书；：提供具有履行合同所必须的设备和专业技术能力的承诺书；</w:t>
      </w:r>
    </w:p>
    <w:p>
      <w:pPr>
        <w:pStyle w:val="null3"/>
      </w:pPr>
      <w:r>
        <w:rPr>
          <w:rFonts w:ascii="仿宋_GB2312" w:hAnsi="仿宋_GB2312" w:cs="仿宋_GB2312" w:eastAsia="仿宋_GB2312"/>
        </w:rPr>
        <w:t>8、供应商关联关系：单位负责人为同一人或者存在直接控股、管理关系的不同供应商，不得参加同一合同项下的政府采购活动；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9、联合体磋商：本项目不接受联合体磋商；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渭南市政务服务中心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渭南市车雷街69号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渭南市政务服务中心经办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0913-2933000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陕西省渭南市临渭区仓程路华盛公寓1625室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余姗姗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15829096922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采购包1：338,600.00元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人在领取成交通知书时应向采购代理机构一次性交纳招标代理服务费。招标代理服务费参照国家计委关于印发《招标代理服务收费管理暂行办法》的通知（计价格〔2002〕1980号）、国家发展改革委关于降低部分建设项目收费标准规范收费行为等有关问题的通知发改价格[2011]534号文件的规定计取。此服务费应计入投标报价中，但不需要单独开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渭南市政务服务中心</w:t>
      </w:r>
      <w:r>
        <w:rPr>
          <w:rFonts w:ascii="仿宋_GB2312" w:hAnsi="仿宋_GB2312" w:cs="仿宋_GB2312" w:eastAsia="仿宋_GB2312"/>
        </w:rPr>
        <w:t>和</w:t>
      </w:r>
      <w:r>
        <w:rPr>
          <w:rFonts w:ascii="仿宋_GB2312" w:hAnsi="仿宋_GB2312" w:cs="仿宋_GB2312" w:eastAsia="仿宋_GB2312"/>
        </w:rPr>
        <w:t>西北国际项目管理有限公司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渭南市政务服务中心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西北国际项目管理有限公司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渭南市政务服务中心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符合国家标准、行业标准以及现行技术规范要求达到合格标准。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联系人：余姗姗</w:t>
      </w:r>
    </w:p>
    <w:p>
      <w:pPr>
        <w:pStyle w:val="null3"/>
      </w:pPr>
      <w:r>
        <w:rPr>
          <w:rFonts w:ascii="仿宋_GB2312" w:hAnsi="仿宋_GB2312" w:cs="仿宋_GB2312" w:eastAsia="仿宋_GB2312"/>
        </w:rPr>
        <w:t>联系电话：15829096922</w:t>
      </w:r>
    </w:p>
    <w:p>
      <w:pPr>
        <w:pStyle w:val="null3"/>
      </w:pPr>
      <w:r>
        <w:rPr>
          <w:rFonts w:ascii="仿宋_GB2312" w:hAnsi="仿宋_GB2312" w:cs="仿宋_GB2312" w:eastAsia="仿宋_GB2312"/>
        </w:rPr>
        <w:t>地址：陕西省渭南市临渭区仓程路华盛公寓1625室</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障政务服务大厅各类设施设备的正常运行，确保大厅各项工作顺利开展，全面提升政务服务大厅网络与信息系统的安全性、稳定性和可靠性，建立健全网络安全防护体系，提升政务服务大厅网络运维水平及应急处置能力，现计划对大厅设施设备及网络与信息系统运行维护和安全服务进行采购，为政务服务大厅提供全方位、多层次、立体化的硬件和网络信息系统运行维护安全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338,600.00</w:t>
      </w:r>
    </w:p>
    <w:p>
      <w:pPr>
        <w:pStyle w:val="null3"/>
      </w:pPr>
      <w:r>
        <w:rPr>
          <w:rFonts w:ascii="仿宋_GB2312" w:hAnsi="仿宋_GB2312" w:cs="仿宋_GB2312" w:eastAsia="仿宋_GB2312"/>
        </w:rPr>
        <w:t>采购包最高限价（元）: 338,600.00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政务服务大厅硬件保障及网络维护服务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338,600.00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标的名称：政务服务大厅硬件保障及网络维护服务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为保障政务服务大厅各类设施设备的正常运行，确保大厅各项工作顺利开展，全面提升政务服务大厅网络与信息系统的安全性、稳定性和可靠性，建立健全网络安全防护体系，提升政务服务大厅网络运维水平及应急处置能力，现计划对大厅设施设备及网络与信息系统运行维护和安全服务进行采购，为政务服务大厅提供全方位、多层次、立体化的硬件和网络信息系统运行维护安全服务。</w:t>
            </w:r>
          </w:p>
          <w:p>
            <w:pPr>
              <w:pStyle w:val="null3"/>
              <w:jc w:val="both"/>
            </w:pPr>
            <w:r>
              <w:rPr>
                <w:rFonts w:ascii="仿宋_GB2312" w:hAnsi="仿宋_GB2312" w:cs="仿宋_GB2312" w:eastAsia="仿宋_GB2312"/>
                <w:sz w:val="24"/>
                <w:b/>
              </w:rPr>
              <w:t>二、服务内容</w:t>
            </w:r>
          </w:p>
          <w:p>
            <w:pPr>
              <w:pStyle w:val="null3"/>
              <w:jc w:val="both"/>
            </w:pPr>
            <w:r>
              <w:rPr>
                <w:rFonts w:ascii="仿宋_GB2312" w:hAnsi="仿宋_GB2312" w:cs="仿宋_GB2312" w:eastAsia="仿宋_GB2312"/>
                <w:sz w:val="24"/>
                <w:b/>
              </w:rPr>
              <w:t>（一）、设施设备服务内容</w:t>
            </w:r>
          </w:p>
          <w:p>
            <w:pPr>
              <w:pStyle w:val="null3"/>
              <w:ind w:firstLine="480"/>
              <w:jc w:val="both"/>
            </w:pPr>
            <w:r>
              <w:rPr>
                <w:rFonts w:ascii="仿宋_GB2312" w:hAnsi="仿宋_GB2312" w:cs="仿宋_GB2312" w:eastAsia="仿宋_GB2312"/>
                <w:sz w:val="24"/>
              </w:rPr>
              <w:t>1.维保设备清单</w:t>
            </w:r>
          </w:p>
          <w:p>
            <w:pPr>
              <w:pStyle w:val="null3"/>
              <w:ind w:firstLine="480"/>
              <w:jc w:val="both"/>
            </w:pPr>
            <w:r>
              <w:rPr>
                <w:rFonts w:ascii="仿宋_GB2312" w:hAnsi="仿宋_GB2312" w:cs="仿宋_GB2312" w:eastAsia="仿宋_GB2312"/>
                <w:sz w:val="24"/>
              </w:rPr>
              <w:t>电子设备：</w:t>
            </w:r>
            <w:r>
              <w:rPr>
                <w:rFonts w:ascii="仿宋_GB2312" w:hAnsi="仿宋_GB2312" w:cs="仿宋_GB2312" w:eastAsia="仿宋_GB2312"/>
                <w:sz w:val="24"/>
              </w:rPr>
              <w:t>电脑、</w:t>
            </w:r>
            <w:r>
              <w:rPr>
                <w:rFonts w:ascii="仿宋_GB2312" w:hAnsi="仿宋_GB2312" w:cs="仿宋_GB2312" w:eastAsia="仿宋_GB2312"/>
                <w:sz w:val="24"/>
              </w:rPr>
              <w:t>LED抬头屏、LED大屏、打印机、高拍仪、呼叫器、网络交换机、人证对比机、抽号机、电视机、网络分配器、收发器、网络录音盒等电子设备；</w:t>
            </w:r>
          </w:p>
          <w:p>
            <w:pPr>
              <w:pStyle w:val="null3"/>
              <w:ind w:firstLine="480"/>
              <w:jc w:val="both"/>
            </w:pPr>
            <w:r>
              <w:rPr>
                <w:rFonts w:ascii="仿宋_GB2312" w:hAnsi="仿宋_GB2312" w:cs="仿宋_GB2312" w:eastAsia="仿宋_GB2312"/>
                <w:sz w:val="24"/>
              </w:rPr>
              <w:t>安防设备：安防摄像头、监控大屏、拼接器、安防交换机、安防平台、存储服务器、核心路由器等；</w:t>
            </w:r>
          </w:p>
          <w:p>
            <w:pPr>
              <w:pStyle w:val="null3"/>
              <w:ind w:firstLine="480"/>
              <w:jc w:val="both"/>
            </w:pPr>
            <w:r>
              <w:rPr>
                <w:rFonts w:ascii="仿宋_GB2312" w:hAnsi="仿宋_GB2312" w:cs="仿宋_GB2312" w:eastAsia="仿宋_GB2312"/>
                <w:sz w:val="24"/>
              </w:rPr>
              <w:t>办公家具：沙发、桌子、椅子、门把手、门锁、隔离桩、资料架、资料柜、办公区格挡、冬夏季门帘等。</w:t>
            </w:r>
          </w:p>
          <w:p>
            <w:pPr>
              <w:pStyle w:val="null3"/>
              <w:ind w:firstLine="480"/>
              <w:jc w:val="both"/>
            </w:pPr>
            <w:r>
              <w:rPr>
                <w:rFonts w:ascii="仿宋_GB2312" w:hAnsi="仿宋_GB2312" w:cs="仿宋_GB2312" w:eastAsia="仿宋_GB2312"/>
                <w:sz w:val="24"/>
              </w:rPr>
              <w:t>2.维保服务内容</w:t>
            </w:r>
          </w:p>
          <w:p>
            <w:pPr>
              <w:pStyle w:val="null3"/>
              <w:ind w:firstLine="480"/>
              <w:jc w:val="both"/>
            </w:pPr>
            <w:r>
              <w:rPr>
                <w:rFonts w:ascii="仿宋_GB2312" w:hAnsi="仿宋_GB2312" w:cs="仿宋_GB2312" w:eastAsia="仿宋_GB2312"/>
                <w:sz w:val="24"/>
              </w:rPr>
              <w:t>提供驻场服务及</w:t>
            </w:r>
            <w:r>
              <w:rPr>
                <w:rFonts w:ascii="仿宋_GB2312" w:hAnsi="仿宋_GB2312" w:cs="仿宋_GB2312" w:eastAsia="仿宋_GB2312"/>
                <w:sz w:val="24"/>
              </w:rPr>
              <w:t>7x24 小时电话响应服务，</w:t>
            </w:r>
            <w:r>
              <w:rPr>
                <w:rFonts w:ascii="仿宋_GB2312" w:hAnsi="仿宋_GB2312" w:cs="仿宋_GB2312" w:eastAsia="仿宋_GB2312"/>
                <w:sz w:val="24"/>
              </w:rPr>
              <w:t>定期巡检维护</w:t>
            </w:r>
            <w:r>
              <w:rPr>
                <w:rFonts w:ascii="仿宋_GB2312" w:hAnsi="仿宋_GB2312" w:cs="仿宋_GB2312" w:eastAsia="仿宋_GB2312"/>
                <w:sz w:val="24"/>
              </w:rPr>
              <w:t>、</w:t>
            </w:r>
            <w:r>
              <w:rPr>
                <w:rFonts w:ascii="仿宋_GB2312" w:hAnsi="仿宋_GB2312" w:cs="仿宋_GB2312" w:eastAsia="仿宋_GB2312"/>
                <w:sz w:val="24"/>
              </w:rPr>
              <w:t>故障响应与修</w:t>
            </w:r>
            <w:r>
              <w:rPr>
                <w:rFonts w:ascii="仿宋_GB2312" w:hAnsi="仿宋_GB2312" w:cs="仿宋_GB2312" w:eastAsia="仿宋_GB2312"/>
                <w:sz w:val="24"/>
              </w:rPr>
              <w:t>理</w:t>
            </w:r>
            <w:r>
              <w:rPr>
                <w:rFonts w:ascii="仿宋_GB2312" w:hAnsi="仿宋_GB2312" w:cs="仿宋_GB2312" w:eastAsia="仿宋_GB2312"/>
                <w:sz w:val="24"/>
              </w:rPr>
              <w:t>、</w:t>
            </w:r>
            <w:r>
              <w:rPr>
                <w:rFonts w:ascii="仿宋_GB2312" w:hAnsi="仿宋_GB2312" w:cs="仿宋_GB2312" w:eastAsia="仿宋_GB2312"/>
                <w:sz w:val="24"/>
              </w:rPr>
              <w:t>备件管理</w:t>
            </w:r>
            <w:r>
              <w:rPr>
                <w:rFonts w:ascii="仿宋_GB2312" w:hAnsi="仿宋_GB2312" w:cs="仿宋_GB2312" w:eastAsia="仿宋_GB2312"/>
                <w:sz w:val="24"/>
              </w:rPr>
              <w:t>、</w:t>
            </w:r>
            <w:r>
              <w:rPr>
                <w:rFonts w:ascii="仿宋_GB2312" w:hAnsi="仿宋_GB2312" w:cs="仿宋_GB2312" w:eastAsia="仿宋_GB2312"/>
                <w:sz w:val="24"/>
              </w:rPr>
              <w:t>设备</w:t>
            </w:r>
            <w:r>
              <w:rPr>
                <w:rFonts w:ascii="仿宋_GB2312" w:hAnsi="仿宋_GB2312" w:cs="仿宋_GB2312" w:eastAsia="仿宋_GB2312"/>
                <w:sz w:val="24"/>
              </w:rPr>
              <w:t>性能优化</w:t>
            </w:r>
            <w:r>
              <w:rPr>
                <w:rFonts w:ascii="仿宋_GB2312" w:hAnsi="仿宋_GB2312" w:cs="仿宋_GB2312" w:eastAsia="仿宋_GB2312"/>
                <w:sz w:val="24"/>
              </w:rPr>
              <w:t>、</w:t>
            </w:r>
            <w:r>
              <w:rPr>
                <w:rFonts w:ascii="仿宋_GB2312" w:hAnsi="仿宋_GB2312" w:cs="仿宋_GB2312" w:eastAsia="仿宋_GB2312"/>
                <w:sz w:val="24"/>
              </w:rPr>
              <w:t>技术支持与培训</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3.配合政务大厅软硬件升级改造，做好增加设备后的巡检维保工作。</w:t>
            </w:r>
          </w:p>
          <w:p>
            <w:pPr>
              <w:pStyle w:val="null3"/>
              <w:ind w:left="420" w:right="30"/>
              <w:jc w:val="both"/>
            </w:pPr>
            <w:r>
              <w:rPr>
                <w:rFonts w:ascii="仿宋_GB2312" w:hAnsi="仿宋_GB2312" w:cs="仿宋_GB2312" w:eastAsia="仿宋_GB2312"/>
                <w:sz w:val="24"/>
                <w:b/>
              </w:rPr>
              <w:t>（二）、网络与信息系统运行维护和安全服务内容</w:t>
            </w:r>
          </w:p>
          <w:p>
            <w:pPr>
              <w:pStyle w:val="null3"/>
              <w:ind w:left="480"/>
              <w:jc w:val="both"/>
            </w:pPr>
            <w:r>
              <w:rPr>
                <w:rFonts w:ascii="仿宋_GB2312" w:hAnsi="仿宋_GB2312" w:cs="仿宋_GB2312" w:eastAsia="仿宋_GB2312"/>
                <w:sz w:val="24"/>
              </w:rPr>
              <w:t>1. 网络巡检服务</w:t>
            </w:r>
            <w:r>
              <w:br/>
            </w:r>
            <w:r>
              <w:rPr>
                <w:rFonts w:ascii="仿宋_GB2312" w:hAnsi="仿宋_GB2312" w:cs="仿宋_GB2312" w:eastAsia="仿宋_GB2312"/>
                <w:sz w:val="24"/>
              </w:rPr>
              <w:t>网络巡检服务旨在对政务服务中心的网络基础设施进行全面、系统的健康检查，确</w:t>
            </w:r>
          </w:p>
          <w:p>
            <w:pPr>
              <w:pStyle w:val="null3"/>
              <w:jc w:val="both"/>
            </w:pPr>
            <w:r>
              <w:rPr>
                <w:rFonts w:ascii="仿宋_GB2312" w:hAnsi="仿宋_GB2312" w:cs="仿宋_GB2312" w:eastAsia="仿宋_GB2312"/>
                <w:sz w:val="24"/>
              </w:rPr>
              <w:t>保网络运行的稳定性和安全性。服务内容包括但不限于：对核心交换机、路由器等网络设备进行性能检测和配置核查，确保设备运行状态正常。对网络链路进行连通性测试和带宽监测，排查潜在的网络拥塞、丢包等问题。对网络安全设备进行策略优化和日志分析，确保安全策略的有效性。提供详细的巡检报告。绘制网络拓扑图，并做好更新维护管理。按实际需求形成</w:t>
            </w:r>
            <w:r>
              <w:rPr>
                <w:rFonts w:ascii="仿宋_GB2312" w:hAnsi="仿宋_GB2312" w:cs="仿宋_GB2312" w:eastAsia="仿宋_GB2312"/>
                <w:sz w:val="24"/>
              </w:rPr>
              <w:t>IP地址分配表，VLAN分配表，路由信息等，并根据实际业务变更情况维护相关表格。</w:t>
            </w:r>
          </w:p>
          <w:p>
            <w:pPr>
              <w:pStyle w:val="null3"/>
              <w:ind w:firstLine="480"/>
              <w:jc w:val="both"/>
            </w:pPr>
            <w:r>
              <w:rPr>
                <w:rFonts w:ascii="仿宋_GB2312" w:hAnsi="仿宋_GB2312" w:cs="仿宋_GB2312" w:eastAsia="仿宋_GB2312"/>
                <w:sz w:val="24"/>
              </w:rPr>
              <w:t>2. 信息系统巡检服务</w:t>
            </w:r>
            <w:r>
              <w:br/>
            </w:r>
            <w:r>
              <w:rPr>
                <w:rFonts w:ascii="仿宋_GB2312" w:hAnsi="仿宋_GB2312" w:cs="仿宋_GB2312" w:eastAsia="仿宋_GB2312"/>
                <w:sz w:val="24"/>
              </w:rPr>
              <w:t xml:space="preserve">    </w:t>
            </w:r>
            <w:r>
              <w:rPr>
                <w:rFonts w:ascii="仿宋_GB2312" w:hAnsi="仿宋_GB2312" w:cs="仿宋_GB2312" w:eastAsia="仿宋_GB2312"/>
                <w:sz w:val="24"/>
              </w:rPr>
              <w:t>信息系统巡检服务旨在对政务服务中心各类信息系统进行深度检查和优化，确保系统的高效、安全运行。服务内容包括但不限于：对服务器操作系统（如</w:t>
            </w:r>
            <w:r>
              <w:rPr>
                <w:rFonts w:ascii="仿宋_GB2312" w:hAnsi="仿宋_GB2312" w:cs="仿宋_GB2312" w:eastAsia="仿宋_GB2312"/>
                <w:sz w:val="24"/>
              </w:rPr>
              <w:t>Windows、Linux）进行安全补丁检查、权限配置核查和日志分析。对数据库系统（如Oracle、MySQL、SQL Server）进行性能优化、备份策略检查和漏洞修复。对中间件（如WebLogic、Tomcat）和应用系统进行配置核查和性能调优。提供系统巡检报告，包括系统运行状态、安全隐患及优化建议。</w:t>
            </w:r>
          </w:p>
          <w:p>
            <w:pPr>
              <w:pStyle w:val="null3"/>
              <w:ind w:firstLine="480"/>
              <w:jc w:val="both"/>
            </w:pPr>
            <w:r>
              <w:rPr>
                <w:rFonts w:ascii="仿宋_GB2312" w:hAnsi="仿宋_GB2312" w:cs="仿宋_GB2312" w:eastAsia="仿宋_GB2312"/>
                <w:sz w:val="24"/>
              </w:rPr>
              <w:t>3. 网络应急服务</w:t>
            </w:r>
            <w:r>
              <w:br/>
            </w:r>
            <w:r>
              <w:rPr>
                <w:rFonts w:ascii="仿宋_GB2312" w:hAnsi="仿宋_GB2312" w:cs="仿宋_GB2312" w:eastAsia="仿宋_GB2312"/>
                <w:sz w:val="24"/>
              </w:rPr>
              <w:t xml:space="preserve">    </w:t>
            </w:r>
            <w:r>
              <w:rPr>
                <w:rFonts w:ascii="仿宋_GB2312" w:hAnsi="仿宋_GB2312" w:cs="仿宋_GB2312" w:eastAsia="仿宋_GB2312"/>
                <w:sz w:val="24"/>
              </w:rPr>
              <w:t>网络应急服务旨在为政务服务中心提供快速响应和高效处置网络安全事件的能力，最大限度减少损失。服务内容包括但不限于：提供</w:t>
            </w:r>
            <w:r>
              <w:rPr>
                <w:rFonts w:ascii="仿宋_GB2312" w:hAnsi="仿宋_GB2312" w:cs="仿宋_GB2312" w:eastAsia="仿宋_GB2312"/>
                <w:sz w:val="24"/>
              </w:rPr>
              <w:t>7*24小时应急响应服务，确保在发生网络中断、网络攻击、数据泄露等事件时能够及时介入。对网络安全事件进行溯源分析，定位问题根源并提供解决方案。协助恢复网络和系统的正常运行，并提供事件分析报告和改进建议。制定和完善网络安全应急预案，定期组织应急演练。</w:t>
            </w:r>
          </w:p>
          <w:p>
            <w:pPr>
              <w:pStyle w:val="null3"/>
              <w:ind w:left="480"/>
              <w:jc w:val="both"/>
            </w:pPr>
            <w:r>
              <w:rPr>
                <w:rFonts w:ascii="仿宋_GB2312" w:hAnsi="仿宋_GB2312" w:cs="仿宋_GB2312" w:eastAsia="仿宋_GB2312"/>
                <w:sz w:val="24"/>
              </w:rPr>
              <w:t>4. 网络安全攻防演练服务</w:t>
            </w:r>
            <w:r>
              <w:br/>
            </w:r>
            <w:r>
              <w:rPr>
                <w:rFonts w:ascii="仿宋_GB2312" w:hAnsi="仿宋_GB2312" w:cs="仿宋_GB2312" w:eastAsia="仿宋_GB2312"/>
                <w:sz w:val="24"/>
              </w:rPr>
              <w:t>网络安全攻防演练服务旨在通过模拟真实攻击场景，检验政务服务中心网络安全防</w:t>
            </w:r>
          </w:p>
          <w:p>
            <w:pPr>
              <w:pStyle w:val="null3"/>
              <w:jc w:val="both"/>
            </w:pPr>
            <w:r>
              <w:rPr>
                <w:rFonts w:ascii="仿宋_GB2312" w:hAnsi="仿宋_GB2312" w:cs="仿宋_GB2312" w:eastAsia="仿宋_GB2312"/>
                <w:sz w:val="24"/>
              </w:rPr>
              <w:t>护体系的实战能力。服务内容包括但不限于：根据政务服务中心网络环境和业务特点，设计针对性的攻防演练方案。模拟常见网络攻击手段（如</w:t>
            </w:r>
            <w:r>
              <w:rPr>
                <w:rFonts w:ascii="仿宋_GB2312" w:hAnsi="仿宋_GB2312" w:cs="仿宋_GB2312" w:eastAsia="仿宋_GB2312"/>
                <w:sz w:val="24"/>
              </w:rPr>
              <w:t>DDoS攻击、SQL注入、钓鱼攻击等），检验防护系统的有效性。对演练过程中发现的安全漏洞进行修复，并提供加固建议。提供攻防演练总结报告，包括演练过程、发现的问题及整改措施。</w:t>
            </w:r>
          </w:p>
          <w:p>
            <w:pPr>
              <w:pStyle w:val="null3"/>
              <w:ind w:left="480"/>
              <w:jc w:val="both"/>
            </w:pPr>
            <w:r>
              <w:rPr>
                <w:rFonts w:ascii="仿宋_GB2312" w:hAnsi="仿宋_GB2312" w:cs="仿宋_GB2312" w:eastAsia="仿宋_GB2312"/>
                <w:sz w:val="24"/>
              </w:rPr>
              <w:t>5.</w:t>
            </w:r>
            <w:r>
              <w:rPr>
                <w:rFonts w:ascii="仿宋_GB2312" w:hAnsi="仿宋_GB2312" w:cs="仿宋_GB2312" w:eastAsia="仿宋_GB2312"/>
                <w:sz w:val="24"/>
              </w:rPr>
              <w:t>舆论监测服务</w:t>
            </w:r>
            <w:r>
              <w:br/>
            </w:r>
            <w:r>
              <w:rPr>
                <w:rFonts w:ascii="仿宋_GB2312" w:hAnsi="仿宋_GB2312" w:cs="仿宋_GB2312" w:eastAsia="仿宋_GB2312"/>
                <w:sz w:val="24"/>
              </w:rPr>
              <w:t>舆论监测服务旨在通过实时监测和分析网络舆论，帮助政务服务中心及时掌握舆论</w:t>
            </w:r>
          </w:p>
          <w:p>
            <w:pPr>
              <w:pStyle w:val="null3"/>
              <w:jc w:val="both"/>
            </w:pPr>
            <w:r>
              <w:rPr>
                <w:rFonts w:ascii="仿宋_GB2312" w:hAnsi="仿宋_GB2312" w:cs="仿宋_GB2312" w:eastAsia="仿宋_GB2312"/>
                <w:sz w:val="24"/>
              </w:rPr>
              <w:t>动态，维护单位形象和声誉。服务内容包括但不限于：利用专业的舆论监测工具，对与政务服务中心相关的网络舆论进行全天候监测。对监测到的舆论信息进行分类、分析和研判，识别潜在风险。提供舆论预警和应对建议，协助政务服务中心及时采取应对措施。定期提供舆论分析报告，包括舆论趋势、热点事件及应对策略。</w:t>
            </w:r>
          </w:p>
          <w:p>
            <w:pPr>
              <w:pStyle w:val="null3"/>
              <w:jc w:val="both"/>
            </w:pPr>
            <w:r>
              <w:rPr>
                <w:rFonts w:ascii="仿宋_GB2312" w:hAnsi="仿宋_GB2312" w:cs="仿宋_GB2312" w:eastAsia="仿宋_GB2312"/>
                <w:sz w:val="24"/>
                <w:b/>
              </w:rPr>
              <w:t>三、服务要求</w:t>
            </w:r>
          </w:p>
          <w:p>
            <w:pPr>
              <w:pStyle w:val="null3"/>
              <w:ind w:firstLine="480"/>
              <w:jc w:val="both"/>
            </w:pPr>
            <w:r>
              <w:rPr>
                <w:rFonts w:ascii="仿宋_GB2312" w:hAnsi="仿宋_GB2312" w:cs="仿宋_GB2312" w:eastAsia="仿宋_GB2312"/>
                <w:sz w:val="24"/>
                <w:color w:val="000000"/>
              </w:rPr>
              <w:t>1.服务期限</w:t>
            </w:r>
            <w:r>
              <w:rPr>
                <w:rFonts w:ascii="仿宋_GB2312" w:hAnsi="仿宋_GB2312" w:cs="仿宋_GB2312" w:eastAsia="仿宋_GB2312"/>
                <w:sz w:val="24"/>
                <w:color w:val="000000"/>
              </w:rPr>
              <w:t>：</w:t>
            </w:r>
            <w:r>
              <w:rPr>
                <w:rFonts w:ascii="仿宋_GB2312" w:hAnsi="仿宋_GB2312" w:cs="仿宋_GB2312" w:eastAsia="仿宋_GB2312"/>
                <w:sz w:val="24"/>
                <w:color w:val="000000"/>
              </w:rPr>
              <w:t>自合同签订之日至起</w:t>
            </w:r>
            <w:r>
              <w:rPr>
                <w:rFonts w:ascii="仿宋_GB2312" w:hAnsi="仿宋_GB2312" w:cs="仿宋_GB2312" w:eastAsia="仿宋_GB2312"/>
                <w:sz w:val="24"/>
                <w:color w:val="000000"/>
              </w:rPr>
              <w:t>1年。</w:t>
            </w:r>
          </w:p>
          <w:p>
            <w:pPr>
              <w:pStyle w:val="null3"/>
              <w:ind w:firstLine="480"/>
              <w:jc w:val="both"/>
            </w:pPr>
            <w:r>
              <w:rPr>
                <w:rFonts w:ascii="仿宋_GB2312" w:hAnsi="仿宋_GB2312" w:cs="仿宋_GB2312" w:eastAsia="仿宋_GB2312"/>
                <w:sz w:val="24"/>
                <w:color w:val="000000"/>
              </w:rPr>
              <w:t>2.付款方式：合同签订后，支付合同总价款的50%；合同签订后半年，经评估服务达到合同要求，支付合同总价款的50%。甲方与乙方直接结算，乙方负责在付款前按甲方要求提供增值税发票，甲方见票付款。</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质量要求：</w:t>
            </w:r>
            <w:r>
              <w:rPr>
                <w:rFonts w:ascii="仿宋_GB2312" w:hAnsi="仿宋_GB2312" w:cs="仿宋_GB2312" w:eastAsia="仿宋_GB2312"/>
                <w:sz w:val="24"/>
                <w:color w:val="000000"/>
              </w:rPr>
              <w:t>符合国家标准、行业标准以及现行技术规范要求达到合格标准。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详见评审方法</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详见评审方法</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自合同签订之日至起1年。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合同签订后半年，经评估服务达到合同要求，</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供应商须为具有独立承担民事责任能力的法人、其他组织或自然人，并提供有效的统一社会信用代码的营业执照或事业单位法人证书等国家规定的相关证明，自然人参与的提供其身份证明；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w:t>
            </w:r>
          </w:p>
        </w:tc>
        <w:tc>
          <w:tcPr>
            <w:tcW w:type="dxa" w:w="3322"/>
          </w:tcPr>
          <w:p>
            <w:pPr>
              <w:pStyle w:val="null3"/>
            </w:pPr>
            <w:r>
              <w:rPr>
                <w:rFonts w:ascii="仿宋_GB2312" w:hAnsi="仿宋_GB2312" w:cs="仿宋_GB2312" w:eastAsia="仿宋_GB2312"/>
              </w:rPr>
              <w:t>供应商应授权合法的人员参加竞争性磋商全过程，其中法定代表人直接参加竞争性磋商的，须出具法人身份证，并与营业执照上信息一致。法定代表人授权代表参加竞争性磋商的，须出具法定代表人授权书及授权代表身份证；</w:t>
            </w:r>
          </w:p>
        </w:tc>
        <w:tc>
          <w:tcPr>
            <w:tcW w:type="dxa" w:w="1661"/>
          </w:tcPr>
          <w:p>
            <w:pPr>
              <w:pStyle w:val="null3"/>
            </w:pPr>
            <w:r>
              <w:rPr>
                <w:rFonts w:ascii="仿宋_GB2312" w:hAnsi="仿宋_GB2312" w:cs="仿宋_GB2312" w:eastAsia="仿宋_GB2312"/>
              </w:rPr>
              <w:t>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税收缴纳证明和社会保障资金缴纳证明</w:t>
            </w:r>
          </w:p>
        </w:tc>
        <w:tc>
          <w:tcPr>
            <w:tcW w:type="dxa" w:w="3322"/>
          </w:tcPr>
          <w:p>
            <w:pPr>
              <w:pStyle w:val="null3"/>
            </w:pPr>
            <w:r>
              <w:rPr>
                <w:rFonts w:ascii="仿宋_GB2312" w:hAnsi="仿宋_GB2312" w:cs="仿宋_GB2312" w:eastAsia="仿宋_GB2312"/>
              </w:rPr>
              <w:t>①税收缴纳证明：提供截止至开标时间前一年内已缴纳的至少一个月的纳税证明或完税证明，依法免税的单位应提供相关证明材料；②社会保障资金缴纳证明：提供截止至开标时间前一年内至今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提供2023或2024年度财务审计报告（成立时间至提交响应文件截止时间不足一年的可提供成立后任意时段的资产负债表）或其基本存款账户开户银行出具的开标前六个月内资信证明及基本存款账户的开户证明；</w:t>
            </w:r>
          </w:p>
        </w:tc>
        <w:tc>
          <w:tcPr>
            <w:tcW w:type="dxa" w:w="1661"/>
          </w:tcPr>
          <w:p>
            <w:pPr>
              <w:pStyle w:val="null3"/>
            </w:pPr>
            <w:r>
              <w:rPr>
                <w:rFonts w:ascii="仿宋_GB2312" w:hAnsi="仿宋_GB2312" w:cs="仿宋_GB2312" w:eastAsia="仿宋_GB2312"/>
              </w:rPr>
              <w:t>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w:t>
            </w:r>
          </w:p>
        </w:tc>
        <w:tc>
          <w:tcPr>
            <w:tcW w:type="dxa" w:w="1661"/>
          </w:tcPr>
          <w:p>
            <w:pPr>
              <w:pStyle w:val="null3"/>
            </w:pPr>
            <w:r>
              <w:rPr>
                <w:rFonts w:ascii="仿宋_GB2312" w:hAnsi="仿宋_GB2312" w:cs="仿宋_GB2312" w:eastAsia="仿宋_GB2312"/>
              </w:rPr>
              <w:t>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提供具有履行合同所必须的设备和专业技术能力的承诺书；</w:t>
            </w:r>
          </w:p>
        </w:tc>
        <w:tc>
          <w:tcPr>
            <w:tcW w:type="dxa" w:w="3322"/>
          </w:tcPr>
          <w:p>
            <w:pPr>
              <w:pStyle w:val="null3"/>
            </w:pPr>
            <w:r>
              <w:rPr>
                <w:rFonts w:ascii="仿宋_GB2312" w:hAnsi="仿宋_GB2312" w:cs="仿宋_GB2312" w:eastAsia="仿宋_GB2312"/>
              </w:rPr>
              <w:t>提供具有履行合同所必须的设备和专业技术能力的承诺书；</w:t>
            </w:r>
          </w:p>
        </w:tc>
        <w:tc>
          <w:tcPr>
            <w:tcW w:type="dxa" w:w="1661"/>
          </w:tcPr>
          <w:p>
            <w:pPr>
              <w:pStyle w:val="null3"/>
            </w:pPr>
            <w:r>
              <w:rPr>
                <w:rFonts w:ascii="仿宋_GB2312" w:hAnsi="仿宋_GB2312" w:cs="仿宋_GB2312" w:eastAsia="仿宋_GB2312"/>
              </w:rPr>
              <w:t>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 陕西省政府采购供应商拒绝政府采购领域商业贿赂承诺书.docx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只能有一个有效最终报价，不得提交选择性报价，且报价不超过采购预算金额。</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响应文件封面 商务应答表 标的清单 报价表 磋商方案.docx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根据项目内容提供本项目整体的设施设备及网络与信息系统运行维护和安全服务方案，（方案内容包含设施设备维护、网络巡检服务、信息系统巡检服务、网络应急服务、网络安全攻防演练服务、舆论监测服务。服务方案总体思路清晰、内容全面，针对项目编制，分析检查、评估依据符合磋商文件要求，方案设计规范、清晰，架构完整、层次清楚，处理流程完整、及时。符合国家要求及本项目实际情况。 ①服务方案科学全面，操作程序合理、规范，可操作性强的得(24-30]分； ②服务方案基本科学、操作程序基本合理，具有一定可操作性的得(16-24]分； ③服务方案一般合理，可操作性一般的得(8-16]分； ④服务方案简单，不具备操作性的得(0-8]分； ⑤缺项或不提供的得0分。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服务质量控制的方法和措施</w:t>
            </w:r>
          </w:p>
        </w:tc>
        <w:tc>
          <w:tcPr>
            <w:tcW w:type="dxa" w:w="2492"/>
          </w:tcPr>
          <w:p>
            <w:pPr>
              <w:pStyle w:val="null3"/>
            </w:pPr>
            <w:r>
              <w:rPr>
                <w:rFonts w:ascii="仿宋_GB2312" w:hAnsi="仿宋_GB2312" w:cs="仿宋_GB2312" w:eastAsia="仿宋_GB2312"/>
              </w:rPr>
              <w:t>供应商根据项目内容提供服务质量控制的方法和措施： ①质量保证措施方案有效可行、具备完善的内部管理架构、台账资料、工作流程、信息反馈渠道的得(6-10]分； ②质量保证措施方案较合理、内部管理架构较完善，措施一般的得(3-6]分； ③质量保证措施方案不合理的得(0-3]分； ④缺项或不提供的得0分。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供应商根据项目内容提供培训方案，内容包含：培训计划、培训内容、培训方法等。 ①方案内容全面详尽，措施合理，考虑到用户实际情况可行性强的得(6-10]分， ②方案较完善，措施较为合理，具有一定可行性的得(3-6]分， ③方案内容不完善，不利于实施的得(0-3]分； ④缺项或不提供的得0分。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供应商的巡检维护工作必须遵循并优化现有的安全体系，必须在现有安全体制下提出确保系统安全可靠的安全策略、措施和步骤。 ①措施科学全面、详细可行的得(3-5]分； ②措施分析一般的得(2-3]分。 ③措施分析不足、应对措施差的得(0-2]分； ④缺项或不提供的得0分。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针对本项目提供具体的合理化建议。 ①建议科学合理、具有针对性、切实可行的得（3-5]分； ②建议基本合理，具有一定的可行性的得（2-3]分； ③建议不缺项且有简单描述的得（0-2]分； ④缺项或不提供的得0分。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供应商根据本项目的服务内容提供详细的服务承诺、巡检维护计划、故障响应时间、发生故障后的应急补救措施。 ①承诺内容完善、合理、可行性强的得(3-5]分； ②承诺内容一般，可行性一般的得(2-3]分； ③承诺内容不缺项且有简单描述的得（0-2]分； ④缺项或不提供的得0分。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项目人员组成</w:t>
            </w:r>
          </w:p>
        </w:tc>
        <w:tc>
          <w:tcPr>
            <w:tcW w:type="dxa" w:w="2492"/>
          </w:tcPr>
          <w:p>
            <w:pPr>
              <w:pStyle w:val="null3"/>
            </w:pPr>
            <w:r>
              <w:rPr>
                <w:rFonts w:ascii="仿宋_GB2312" w:hAnsi="仿宋_GB2312" w:cs="仿宋_GB2312" w:eastAsia="仿宋_GB2312"/>
              </w:rPr>
              <w:t>项目团队人员（除项目负责人外）不少于6人且须配备1名驻场人员。 1.项目负责人具有智能化系统集成项目经理（高级）证书或系统集成项目管理工程师证书或信息系统项目管理师证书的，得4分；不具备者不得分。 2.拟派本项目的人员数量、专业配备齐全（含系统集成项目管理工程师或信息系统项目管理师或网络工程师或安全防范系统安装维护员等），岗位职责明确的得[0-5]分。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供应商提供2021年1月起至今类似业绩合同（以合同签订时间为准），一个业绩2分，最高得6分。 注：提供合同复印件并加盖单位公章。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价格分应当采用低价优先法计算，即满足磋商文件要求且磋商报价最低的报价为评标基准价，其价格分为满分。其他供应商的价格分统一按照下列公式计算： 磋商报价得分=(评标基准价／有效磋商报价)×价格权值×100 注：1.计算分数时四舍五入取小数点后两位。 2.符合招标文件规定的小微企业、监狱企业、残疾人福利性单位优惠条件的投标人，价格给予10%的扣除，用扣除后的价格参与评审。</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商务应答表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