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版本号：ZCSP-渭南市-2025-0030120250513001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渭南市“十五五”水利发展规划编制项目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ZCSP-渭南市-2025-00301</w:t>
      </w:r>
      <w:r>
        <w:br/>
      </w:r>
      <w:r>
        <w:br/>
      </w:r>
      <w:r>
        <w:br/>
      </w:r>
    </w:p>
    <w:p>
      <w:pPr>
        <w:pStyle w:val="null3"/>
        <w:jc w:val="center"/>
        <w:outlineLvl w:val="2"/>
      </w:pPr>
      <w:r>
        <w:rPr>
          <w:rFonts w:ascii="仿宋_GB2312" w:hAnsi="仿宋_GB2312" w:cs="仿宋_GB2312" w:eastAsia="仿宋_GB2312"/>
          <w:sz w:val="28"/>
          <w:b/>
        </w:rPr>
        <w:t>渭南市水务局</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渭南市水务局</w:t>
      </w:r>
      <w:r>
        <w:rPr>
          <w:rFonts w:ascii="仿宋_GB2312" w:hAnsi="仿宋_GB2312" w:cs="仿宋_GB2312" w:eastAsia="仿宋_GB2312"/>
        </w:rPr>
        <w:t>委托，拟对</w:t>
      </w:r>
      <w:r>
        <w:rPr>
          <w:rFonts w:ascii="仿宋_GB2312" w:hAnsi="仿宋_GB2312" w:cs="仿宋_GB2312" w:eastAsia="仿宋_GB2312"/>
        </w:rPr>
        <w:t>渭南市“十五五”水利发展规划编制项目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渭南市“十五五”水利发展规划编制项目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渭南市“十五五”水利发展规划编制项目，具体详见竞争性磋商文件。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1、营业执照等证明文件：合法有效，具有独立承担民事责任的能力且具备向采购人提供相关服务的企业法人、事业法人、其 他组织或者自然人</w:t>
      </w:r>
    </w:p>
    <w:p>
      <w:pPr>
        <w:pStyle w:val="null3"/>
      </w:pPr>
      <w:r>
        <w:rPr>
          <w:rFonts w:ascii="仿宋_GB2312" w:hAnsi="仿宋_GB2312" w:cs="仿宋_GB2312" w:eastAsia="仿宋_GB2312"/>
        </w:rPr>
        <w:t>2、法定代表人（负责人）或授权代表身份证明：法定代表人参加磋商的，须出具法定代表人身份证明和身份证（正反面）复印件；授权委托代理人参加磋商的，须出具委托授权书，并附法定代表人和委托代理人身份证（正反面）复印件；</w:t>
      </w:r>
    </w:p>
    <w:p>
      <w:pPr>
        <w:pStyle w:val="null3"/>
      </w:pPr>
      <w:r>
        <w:rPr>
          <w:rFonts w:ascii="仿宋_GB2312" w:hAnsi="仿宋_GB2312" w:cs="仿宋_GB2312" w:eastAsia="仿宋_GB2312"/>
        </w:rPr>
        <w:t>3、企业资质：供应商须具备水利行业设计乙级及以上资质，且同时具备灌溉排涝专业、河道整治专业专业设计甲级资质，具有水利发展或专项规划或类似相关业绩。</w:t>
      </w:r>
    </w:p>
    <w:p>
      <w:pPr>
        <w:pStyle w:val="null3"/>
      </w:pPr>
      <w:r>
        <w:rPr>
          <w:rFonts w:ascii="仿宋_GB2312" w:hAnsi="仿宋_GB2312" w:cs="仿宋_GB2312" w:eastAsia="仿宋_GB2312"/>
        </w:rPr>
        <w:t>4、磋商保证金：磋商保证金交纳凭证或担保机构出具的保函；</w:t>
      </w:r>
    </w:p>
    <w:p>
      <w:pPr>
        <w:pStyle w:val="null3"/>
      </w:pPr>
      <w:r>
        <w:rPr>
          <w:rFonts w:ascii="仿宋_GB2312" w:hAnsi="仿宋_GB2312" w:cs="仿宋_GB2312" w:eastAsia="仿宋_GB2312"/>
        </w:rPr>
        <w:t>5、信用信息：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p>
      <w:pPr>
        <w:pStyle w:val="null3"/>
      </w:pPr>
      <w:r>
        <w:rPr>
          <w:rFonts w:ascii="仿宋_GB2312" w:hAnsi="仿宋_GB2312" w:cs="仿宋_GB2312" w:eastAsia="仿宋_GB2312"/>
        </w:rPr>
        <w:t>6、控股关系：单位负责人为同一人或者存在直接控股、管理关系的不同供应商，不得参加本次采购活动。</w:t>
      </w:r>
    </w:p>
    <w:p>
      <w:pPr>
        <w:pStyle w:val="null3"/>
      </w:pPr>
      <w:r>
        <w:rPr>
          <w:rFonts w:ascii="仿宋_GB2312" w:hAnsi="仿宋_GB2312" w:cs="仿宋_GB2312" w:eastAsia="仿宋_GB2312"/>
        </w:rPr>
        <w:t>7、联合体磋商：本项目不接受联合体磋商。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渭南市水务局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渭南市水务局经办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18710924992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邱晓艳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0913-2023388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 1015 2010 9000 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中国招标投标协会关于贯彻&lt;国家发展改革委关于进一步放开建设项目专业服务价格的通知&gt;（发改价格〔2015〕299号）的指导意见》的要求、经双方协商，各标项代理费参照【国家发改委发改价格（2011）534号文件】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渭南市水务局</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渭南市水务局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渭南市水务局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乙方完成相关服务工作、出具服务成果正式文件及要求提供的其他相关资料后，进行履约验 收。 2.合同、竞争性磋商文件、响应文件及承诺。</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联系人：邱晓艳</w:t>
      </w:r>
    </w:p>
    <w:p>
      <w:pPr>
        <w:pStyle w:val="null3"/>
      </w:pPr>
      <w:r>
        <w:rPr>
          <w:rFonts w:ascii="仿宋_GB2312" w:hAnsi="仿宋_GB2312" w:cs="仿宋_GB2312" w:eastAsia="仿宋_GB2312"/>
        </w:rPr>
        <w:t>联系电话：0913-2023388</w:t>
      </w:r>
    </w:p>
    <w:p>
      <w:pPr>
        <w:pStyle w:val="null3"/>
      </w:pPr>
      <w:r>
        <w:rPr>
          <w:rFonts w:ascii="仿宋_GB2312" w:hAnsi="仿宋_GB2312" w:cs="仿宋_GB2312" w:eastAsia="仿宋_GB2312"/>
        </w:rPr>
        <w:t>地址：渭南市朝阳大街中段审计大厦八层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全面评估渭南市“十四五”水利发展规划实施情况，分析规划实施所取得的经验和存在的问题，坚持问题导向、目标导向、结果导向，围绕黄河流域生态保护和高质量发展、中省市县水网建设规划，贯彻十六字治水思路，坚持绿水青山就是金山银山发展理念，科学确定“十五五”水利发展思路、目标和重点工作任务，为全力建设黄河中游生态保护和高质量发展核心示范区提供坚实水利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渭南市“十五五”水利发展规划编制项目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标的名称：渭南市“十五五”水利发展规划编制项目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pPr>
            <w:r>
              <w:rPr>
                <w:rFonts w:ascii="仿宋_GB2312" w:hAnsi="仿宋_GB2312" w:cs="仿宋_GB2312" w:eastAsia="仿宋_GB2312"/>
                <w:sz w:val="21"/>
                <w:b/>
              </w:rPr>
              <w:t>一、基本要求</w:t>
            </w:r>
          </w:p>
          <w:p>
            <w:pPr>
              <w:pStyle w:val="null3"/>
              <w:ind w:firstLine="640"/>
            </w:pPr>
            <w:r>
              <w:rPr>
                <w:rFonts w:ascii="仿宋_GB2312" w:hAnsi="仿宋_GB2312" w:cs="仿宋_GB2312" w:eastAsia="仿宋_GB2312"/>
                <w:sz w:val="21"/>
              </w:rPr>
              <w:t>1.功能要求：着重从水资源配置、供水安全保障、防洪保安防御、幸福河湖修复、智慧水利支撑等方面，推动渭南水网建设工作全面展开，为谱写中国式现代化建设的渭南新篇章提供坚实的水安全保障。</w:t>
            </w:r>
            <w:r>
              <w:rPr>
                <w:rFonts w:ascii="仿宋_GB2312" w:hAnsi="仿宋_GB2312" w:cs="仿宋_GB2312" w:eastAsia="仿宋_GB2312"/>
                <w:sz w:val="21"/>
              </w:rPr>
              <w:t>全面评估渭南市“十四五”水利发展规划实施情况，分析规划实施所取得的经验和存在的问题，坚持问题导向、目标导向、结果导向，围绕黄河流域生态保护和高质量发展、中省市县水网建设规划，贯彻十六字治水思路，坚持绿水青山就是金山银山发展理念，科学确定“十五五”水利发展思路、目标和重点工作任务，为全力建设黄河中游生态保护和高质量发展核心示范区提供坚实水利支撑。</w:t>
            </w:r>
          </w:p>
          <w:p>
            <w:pPr>
              <w:pStyle w:val="null3"/>
              <w:ind w:firstLine="640"/>
            </w:pPr>
            <w:r>
              <w:rPr>
                <w:rFonts w:ascii="仿宋_GB2312" w:hAnsi="仿宋_GB2312" w:cs="仿宋_GB2312" w:eastAsia="仿宋_GB2312"/>
                <w:sz w:val="21"/>
              </w:rPr>
              <w:t>2.服务期限：自合同签订之日起180日历天。</w:t>
            </w:r>
          </w:p>
          <w:p>
            <w:pPr>
              <w:pStyle w:val="null3"/>
              <w:ind w:firstLine="640"/>
            </w:pPr>
            <w:r>
              <w:rPr>
                <w:rFonts w:ascii="仿宋_GB2312" w:hAnsi="仿宋_GB2312" w:cs="仿宋_GB2312" w:eastAsia="仿宋_GB2312"/>
                <w:sz w:val="21"/>
              </w:rPr>
              <w:t>3.服务地点：渭南市</w:t>
            </w:r>
          </w:p>
          <w:p>
            <w:pPr>
              <w:pStyle w:val="null3"/>
              <w:ind w:firstLine="640"/>
            </w:pPr>
            <w:r>
              <w:rPr>
                <w:rFonts w:ascii="仿宋_GB2312" w:hAnsi="仿宋_GB2312" w:cs="仿宋_GB2312" w:eastAsia="仿宋_GB2312"/>
                <w:sz w:val="21"/>
              </w:rPr>
              <w:t>4.</w:t>
            </w:r>
            <w:r>
              <w:rPr>
                <w:rFonts w:ascii="仿宋_GB2312" w:hAnsi="仿宋_GB2312" w:cs="仿宋_GB2312" w:eastAsia="仿宋_GB2312"/>
                <w:sz w:val="21"/>
              </w:rPr>
              <w:t>是否专门面向中小企业采购：非专门面向中小企业采购</w:t>
            </w:r>
            <w:r>
              <w:rPr>
                <w:rFonts w:ascii="仿宋_GB2312" w:hAnsi="仿宋_GB2312" w:cs="仿宋_GB2312" w:eastAsia="仿宋_GB2312"/>
                <w:sz w:val="21"/>
              </w:rPr>
              <w:t>。</w:t>
            </w:r>
          </w:p>
          <w:p>
            <w:pPr>
              <w:pStyle w:val="null3"/>
              <w:ind w:firstLine="640"/>
            </w:pPr>
            <w:r>
              <w:rPr>
                <w:rFonts w:ascii="仿宋_GB2312" w:hAnsi="仿宋_GB2312" w:cs="仿宋_GB2312" w:eastAsia="仿宋_GB2312"/>
                <w:sz w:val="21"/>
                <w:b/>
              </w:rPr>
              <w:t>二、</w:t>
            </w:r>
            <w:r>
              <w:rPr>
                <w:rFonts w:ascii="仿宋_GB2312" w:hAnsi="仿宋_GB2312" w:cs="仿宋_GB2312" w:eastAsia="仿宋_GB2312"/>
                <w:sz w:val="21"/>
                <w:b/>
              </w:rPr>
              <w:t>需执行的国家相关标准、行业标准、地方标准或者其他标准、规范标准</w:t>
            </w:r>
          </w:p>
          <w:p>
            <w:pPr>
              <w:pStyle w:val="null3"/>
              <w:ind w:firstLine="640"/>
            </w:pPr>
            <w:r>
              <w:rPr>
                <w:rFonts w:ascii="仿宋_GB2312" w:hAnsi="仿宋_GB2312" w:cs="仿宋_GB2312" w:eastAsia="仿宋_GB2312"/>
                <w:sz w:val="21"/>
              </w:rPr>
              <w:t>1、中共中央、国务院《乡村振兴战略规划（2018－2022年）》;</w:t>
            </w:r>
          </w:p>
          <w:p>
            <w:pPr>
              <w:pStyle w:val="null3"/>
              <w:ind w:firstLine="640"/>
            </w:pPr>
            <w:r>
              <w:rPr>
                <w:rFonts w:ascii="仿宋_GB2312" w:hAnsi="仿宋_GB2312" w:cs="仿宋_GB2312" w:eastAsia="仿宋_GB2312"/>
                <w:sz w:val="21"/>
              </w:rPr>
              <w:t>2、《中华人民共和国国民经济和社会发展第十四个五年规划和2035年远景目标纲要》;</w:t>
            </w:r>
          </w:p>
          <w:p>
            <w:pPr>
              <w:pStyle w:val="null3"/>
              <w:ind w:firstLine="640"/>
            </w:pPr>
            <w:r>
              <w:rPr>
                <w:rFonts w:ascii="仿宋_GB2312" w:hAnsi="仿宋_GB2312" w:cs="仿宋_GB2312" w:eastAsia="仿宋_GB2312"/>
                <w:sz w:val="21"/>
              </w:rPr>
              <w:t>3、《黄河流域生态保护和高质量发展规划纲要》（2021年10月8日）;</w:t>
            </w:r>
          </w:p>
          <w:p>
            <w:pPr>
              <w:pStyle w:val="null3"/>
              <w:ind w:firstLine="640"/>
            </w:pPr>
            <w:r>
              <w:rPr>
                <w:rFonts w:ascii="仿宋_GB2312" w:hAnsi="仿宋_GB2312" w:cs="仿宋_GB2312" w:eastAsia="仿宋_GB2312"/>
                <w:sz w:val="21"/>
              </w:rPr>
              <w:t>4、《国家水网建设规划纲要》（2023年5月25日）;</w:t>
            </w:r>
          </w:p>
          <w:p>
            <w:pPr>
              <w:pStyle w:val="null3"/>
              <w:ind w:firstLine="640"/>
            </w:pPr>
            <w:r>
              <w:rPr>
                <w:rFonts w:ascii="仿宋_GB2312" w:hAnsi="仿宋_GB2312" w:cs="仿宋_GB2312" w:eastAsia="仿宋_GB2312"/>
                <w:sz w:val="21"/>
              </w:rPr>
              <w:t>5、发展改革委、水利部《国家节水行动方案》的通知（发改环资规〔2019〕695号）;</w:t>
            </w:r>
          </w:p>
          <w:p>
            <w:pPr>
              <w:pStyle w:val="null3"/>
              <w:ind w:firstLine="640"/>
            </w:pPr>
            <w:r>
              <w:rPr>
                <w:rFonts w:ascii="仿宋_GB2312" w:hAnsi="仿宋_GB2312" w:cs="仿宋_GB2312" w:eastAsia="仿宋_GB2312"/>
                <w:sz w:val="21"/>
              </w:rPr>
              <w:t>6、国家发展改革委关于印发《关中平原城市群建设“十四五”实施方案》的通知（发改规划〔2022〕979号）;</w:t>
            </w:r>
          </w:p>
          <w:p>
            <w:pPr>
              <w:pStyle w:val="null3"/>
              <w:ind w:firstLine="640"/>
            </w:pPr>
            <w:r>
              <w:rPr>
                <w:rFonts w:ascii="仿宋_GB2312" w:hAnsi="仿宋_GB2312" w:cs="仿宋_GB2312" w:eastAsia="仿宋_GB2312"/>
                <w:sz w:val="21"/>
              </w:rPr>
              <w:t>7、《中华人民共和国水法》;</w:t>
            </w:r>
          </w:p>
          <w:p>
            <w:pPr>
              <w:pStyle w:val="null3"/>
              <w:ind w:firstLine="640"/>
            </w:pPr>
            <w:r>
              <w:rPr>
                <w:rFonts w:ascii="仿宋_GB2312" w:hAnsi="仿宋_GB2312" w:cs="仿宋_GB2312" w:eastAsia="仿宋_GB2312"/>
                <w:sz w:val="21"/>
              </w:rPr>
              <w:t>8、《中华人民共和国防洪法》;</w:t>
            </w:r>
          </w:p>
          <w:p>
            <w:pPr>
              <w:pStyle w:val="null3"/>
              <w:ind w:firstLine="640"/>
            </w:pPr>
            <w:r>
              <w:rPr>
                <w:rFonts w:ascii="仿宋_GB2312" w:hAnsi="仿宋_GB2312" w:cs="仿宋_GB2312" w:eastAsia="仿宋_GB2312"/>
                <w:sz w:val="21"/>
              </w:rPr>
              <w:t>9、《中华人民共和国水土保持法》;</w:t>
            </w:r>
          </w:p>
          <w:p>
            <w:pPr>
              <w:pStyle w:val="null3"/>
              <w:ind w:firstLine="640"/>
            </w:pPr>
            <w:r>
              <w:rPr>
                <w:rFonts w:ascii="仿宋_GB2312" w:hAnsi="仿宋_GB2312" w:cs="仿宋_GB2312" w:eastAsia="仿宋_GB2312"/>
                <w:sz w:val="21"/>
              </w:rPr>
              <w:t>10、中华人民共和国水污染防治法》;</w:t>
            </w:r>
          </w:p>
          <w:p>
            <w:pPr>
              <w:pStyle w:val="null3"/>
              <w:ind w:firstLine="640"/>
            </w:pPr>
            <w:r>
              <w:rPr>
                <w:rFonts w:ascii="仿宋_GB2312" w:hAnsi="仿宋_GB2312" w:cs="仿宋_GB2312" w:eastAsia="仿宋_GB2312"/>
                <w:sz w:val="21"/>
              </w:rPr>
              <w:t>11、陕西省水利厅、财政厅联合制定印发《陕西省中小河流治理总体方案》（2024年11月） ;</w:t>
            </w:r>
          </w:p>
          <w:p>
            <w:pPr>
              <w:pStyle w:val="null3"/>
              <w:ind w:firstLine="640"/>
            </w:pPr>
            <w:r>
              <w:rPr>
                <w:rFonts w:ascii="仿宋_GB2312" w:hAnsi="仿宋_GB2312" w:cs="仿宋_GB2312" w:eastAsia="仿宋_GB2312"/>
                <w:sz w:val="21"/>
              </w:rPr>
              <w:t>12、中共陕西省委、陕西省人民政府印发《陕西省黄河流域生态保护和高质量发展规划》（2021年12月2日） ;</w:t>
            </w:r>
          </w:p>
          <w:p>
            <w:pPr>
              <w:pStyle w:val="null3"/>
              <w:ind w:firstLine="640"/>
            </w:pPr>
            <w:r>
              <w:rPr>
                <w:rFonts w:ascii="仿宋_GB2312" w:hAnsi="仿宋_GB2312" w:cs="仿宋_GB2312" w:eastAsia="仿宋_GB2312"/>
                <w:sz w:val="21"/>
              </w:rPr>
              <w:t>13、陕西省人民政府关于《陕西省水网建设规划》的批复（陕政函〔2023〕181号）省级相关法规、政策和规划;</w:t>
            </w:r>
          </w:p>
          <w:p>
            <w:pPr>
              <w:pStyle w:val="null3"/>
              <w:ind w:firstLine="640"/>
            </w:pPr>
            <w:r>
              <w:rPr>
                <w:rFonts w:ascii="仿宋_GB2312" w:hAnsi="仿宋_GB2312" w:cs="仿宋_GB2312" w:eastAsia="仿宋_GB2312"/>
                <w:sz w:val="21"/>
              </w:rPr>
              <w:t>14、渭南市人民政府《关于印发国民经济和社会发展第十五个五年规划编制工作总体方案的通知》（渭政发〔2025〕7号）；</w:t>
            </w:r>
          </w:p>
          <w:p>
            <w:pPr>
              <w:pStyle w:val="null3"/>
              <w:ind w:firstLine="640"/>
            </w:pPr>
            <w:r>
              <w:rPr>
                <w:rFonts w:ascii="仿宋_GB2312" w:hAnsi="仿宋_GB2312" w:cs="仿宋_GB2312" w:eastAsia="仿宋_GB2312"/>
                <w:sz w:val="21"/>
              </w:rPr>
              <w:t>15、渭南市级相关法规和规划。</w:t>
            </w:r>
          </w:p>
          <w:p>
            <w:pPr>
              <w:pStyle w:val="null3"/>
              <w:ind w:firstLine="640"/>
            </w:pPr>
            <w:r>
              <w:rPr>
                <w:rFonts w:ascii="仿宋_GB2312" w:hAnsi="仿宋_GB2312" w:cs="仿宋_GB2312" w:eastAsia="仿宋_GB2312"/>
                <w:sz w:val="21"/>
              </w:rPr>
              <w:t>三、质量标准</w:t>
            </w:r>
          </w:p>
          <w:p>
            <w:pPr>
              <w:pStyle w:val="null3"/>
              <w:ind w:firstLine="640"/>
            </w:pPr>
            <w:r>
              <w:rPr>
                <w:rFonts w:ascii="仿宋_GB2312" w:hAnsi="仿宋_GB2312" w:cs="仿宋_GB2312" w:eastAsia="仿宋_GB2312"/>
                <w:sz w:val="21"/>
              </w:rPr>
              <w:t>符合规划编制工作要求，通过行业（水行政）主管部门组织审查并按照审查意见修改完成。</w:t>
            </w:r>
          </w:p>
          <w:p>
            <w:pPr>
              <w:pStyle w:val="null3"/>
              <w:ind w:firstLine="640"/>
            </w:pPr>
            <w:r>
              <w:rPr>
                <w:rFonts w:ascii="仿宋_GB2312" w:hAnsi="仿宋_GB2312" w:cs="仿宋_GB2312" w:eastAsia="仿宋_GB2312"/>
              </w:rPr>
              <w:t xml:space="preserve"> </w:t>
            </w:r>
          </w:p>
          <w:p>
            <w:pPr>
              <w:pStyle w:val="null3"/>
              <w:ind w:firstLine="640"/>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合同签订后首次支付合同价款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第二次支付在报告编制完成并通过技术审查后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审批通过交付成果后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的相关条款和本合同约定，乙方未全面履行合同义务或拒绝继续履行合同义务，造成活动延误或给甲方带来经济损失，甲方有权单方终止合同，并向乙方索赔。甲方违约的，应赔偿乙方的直接经济损失。 解决争议的方法：在履行本合同期间若发生争议，甲、乙双方应友好协商解决。若协商不成，任何一方均可向甲方所在地有管辖权的人民法院提起诉讼。 合同未尽事宜，由甲乙双方协商，补充条款跟原合同同等法律效力。</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符合《政府采购促进中小企业发展管理办法》（财库〔2020）46号）规定</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合法有效，具有独立承担民事责任的能力且具备向采购人提供相关服务的企业法人、事业法人、其 他组织或者自然人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法定代表人参加磋商的，须出具法定代表人身份证明和身份证（正反面）复印件；授权委托代理人参加磋商的，须出具委托授权书，并附法定代表人和委托代理人身份证（正反面）复印件；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供应商须具备水利行业设计乙级及以上资质，且同时具备灌溉排涝专业、河道整治专业专业设计甲级资质，具有水利发展或专项规划或类似相关业绩。</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磋商保证金交纳凭证或担保机构出具的保函；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税收违法黑名单的供应商，不得为中国政府采购网(www.ccgp.gov.cn)政府采购严重违法失信行为记录名单中被财政部门禁止参加政府采购活动的供应商（提供查询结果网页截图并加盖供应商公章，查询日期为公告发布之日起至磋商响应截止日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单位负责人为同一人或者存在直接控股、管理关系的不同供应商，不得参加本次采购活动。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响应文件签章及格式响应</w:t>
            </w:r>
          </w:p>
        </w:tc>
        <w:tc>
          <w:tcPr>
            <w:tcW w:type="dxa" w:w="3322"/>
          </w:tcPr>
          <w:p>
            <w:pPr>
              <w:pStyle w:val="null3"/>
            </w:pPr>
            <w:r>
              <w:rPr>
                <w:rFonts w:ascii="仿宋_GB2312" w:hAnsi="仿宋_GB2312" w:cs="仿宋_GB2312" w:eastAsia="仿宋_GB2312"/>
              </w:rPr>
              <w:t>响应文件签章及格式满足磋商文件的要求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标的清单 报价表 商务应答表.docx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满足或优于采购要求</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服务内容及服务邀请应答表 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实施总体方案编制</w:t>
            </w:r>
          </w:p>
        </w:tc>
        <w:tc>
          <w:tcPr>
            <w:tcW w:type="dxa" w:w="2492"/>
          </w:tcPr>
          <w:p>
            <w:pPr>
              <w:pStyle w:val="null3"/>
            </w:pPr>
            <w:r>
              <w:rPr>
                <w:rFonts w:ascii="仿宋_GB2312" w:hAnsi="仿宋_GB2312" w:cs="仿宋_GB2312" w:eastAsia="仿宋_GB2312"/>
              </w:rPr>
              <w:t>1.针对本项目采购需求理念超前，编制思路清晰，满足采购需求计10.1-15分； 2.针对本项目采购需求思路可行，内容基本完善计5.1-10分； 3.编制思路理念落后或于本项目适用性差计0.1-5分； 4.未提供不计分。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针对本项目提供的规划编制服务方案</w:t>
            </w:r>
          </w:p>
        </w:tc>
        <w:tc>
          <w:tcPr>
            <w:tcW w:type="dxa" w:w="2492"/>
          </w:tcPr>
          <w:p>
            <w:pPr>
              <w:pStyle w:val="null3"/>
            </w:pPr>
            <w:r>
              <w:rPr>
                <w:rFonts w:ascii="仿宋_GB2312" w:hAnsi="仿宋_GB2312" w:cs="仿宋_GB2312" w:eastAsia="仿宋_GB2312"/>
              </w:rPr>
              <w:t>1.方案内容全面完善、满足采购需求计9.1-14分； 2.方案内容全面，不完善计4.1-9分； 3.方案内容不全面或不适用于本项目计0.1-4分； 4.未提供不计分。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1.能够提出本项目实施过程中可能遇见的重点、难点，对本项目适用性强，并提供针对性强的措施及有效的解决方案计7.1-10分； 2.能够提出本项目实施过程中可能遇见的重点、难点，但对本项目适用性不很强，未提供针对性的措施或有效的解决方案计4.1-7分； 3.提出本项目实施过程中可能遇见的重点、难点不适用，或无针对性的措施或解决方案计0.1-4分； 4.未提供不计分。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项目进度安排及成果递交</w:t>
            </w:r>
          </w:p>
        </w:tc>
        <w:tc>
          <w:tcPr>
            <w:tcW w:type="dxa" w:w="2492"/>
          </w:tcPr>
          <w:p>
            <w:pPr>
              <w:pStyle w:val="null3"/>
            </w:pPr>
            <w:r>
              <w:rPr>
                <w:rFonts w:ascii="仿宋_GB2312" w:hAnsi="仿宋_GB2312" w:cs="仿宋_GB2312" w:eastAsia="仿宋_GB2312"/>
              </w:rPr>
              <w:t>1.针对本项目有详细的项目进度安排，工作安排完整详尽，能确保按期完成成果递交计4.1-6分； 2.针对本项目有项目进度安排，工作安排基本完整和明确计2.1-4分； 3.项目进度安排不合理，难以保证按期完成成果递交的计0.1-2分； 4.未提供项目进度安排不计分。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针对本项目提供详细的①组织协调措施；②应急方案及措施；③质量保证；④验收措施。 每提供一项，根据内容合理性计[0-1.5]分，未提供不计分。本项共计6分。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履约售后服务</w:t>
            </w:r>
          </w:p>
        </w:tc>
        <w:tc>
          <w:tcPr>
            <w:tcW w:type="dxa" w:w="2492"/>
          </w:tcPr>
          <w:p>
            <w:pPr>
              <w:pStyle w:val="null3"/>
            </w:pPr>
            <w:r>
              <w:rPr>
                <w:rFonts w:ascii="仿宋_GB2312" w:hAnsi="仿宋_GB2312" w:cs="仿宋_GB2312" w:eastAsia="仿宋_GB2312"/>
              </w:rPr>
              <w:t>履约售后服务包含：①售后服务机构情况；②售后服务人员安排；③售后服务响应时间与处理时间；④售后服务内容及方式。 每提供一项，根据内容合理性计0-1.5分，未提供不计分。本项共计6分。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团队人员配置（项目负责人除外）： 1.人员配备齐全、结构合理、职责清晰，完全满足得[2.1-3]分；基本满足得[1.1-2]分；不满足不得分。 2.团队其他人员每具有一名中级职称的得 0.5 分，高级及以上职称得 1 分,本项最多得5分。（团队人员须提供社保缴纳证明;职称证明材料需提供职称证书复印件加盖公章）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须为供应商在职人员（提供社保缴纳证明），否则不计分。 1.项目负责人具有高级技术职称计3分，中级技术职称计1分，中级职称以下不计分。（职称证明材料需提供职称证书复印件加盖公章） 2.项目负责人业绩：担任项目负责人每提供一项业绩计2分，参与类似项目每提供一项计1分，此项满分为4分。（业绩证明材料业绩需提供体现负责人姓名的合同或签署成果文件）</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2020年1月至开标前完成的水利发展或专项规划业绩，每提供一项水利发展规划业绩计2分；每提供一项专业规划业绩计1分；最高计8分。（以合同签订日期为准，供应商须提供合同或中标（成交）通知书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价格分统一采用低价优先法，即满足磋商文件要求且最后报价最低的供应商的价格为磋商基准价，其价格分为满分20 分。其他供应商的价格分统一按照下列公式计算：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