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版本号：ZCSP-渭南市-2025-00302-120250509001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2025年渭南市国省干线、重要农村公路工程验证性检测、复测、日常抽检及一般农村公路抽检试验第三方检测服务项目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ZCSP-渭南市-2025-00302-1</w:t>
      </w:r>
      <w:r>
        <w:br/>
      </w:r>
      <w:r>
        <w:br/>
      </w:r>
      <w:r>
        <w:br/>
      </w:r>
    </w:p>
    <w:p>
      <w:pPr>
        <w:pStyle w:val="null3"/>
        <w:jc w:val="center"/>
        <w:outlineLvl w:val="2"/>
      </w:pPr>
      <w:r>
        <w:rPr>
          <w:rFonts w:ascii="仿宋_GB2312" w:hAnsi="仿宋_GB2312" w:cs="仿宋_GB2312" w:eastAsia="仿宋_GB2312"/>
          <w:sz w:val="28"/>
          <w:b/>
        </w:rPr>
        <w:t>渭南市交通工程质量监督站</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渭南市交通工程质量监督站</w:t>
      </w:r>
      <w:r>
        <w:rPr>
          <w:rFonts w:ascii="仿宋_GB2312" w:hAnsi="仿宋_GB2312" w:cs="仿宋_GB2312" w:eastAsia="仿宋_GB2312"/>
        </w:rPr>
        <w:t>委托，拟对</w:t>
      </w:r>
      <w:r>
        <w:rPr>
          <w:rFonts w:ascii="仿宋_GB2312" w:hAnsi="仿宋_GB2312" w:cs="仿宋_GB2312" w:eastAsia="仿宋_GB2312"/>
        </w:rPr>
        <w:t>2025年渭南市国省干线、重要农村公路工程验证性检测、复测、日常抽检及一般农村公路抽检试验第三方检测服务项目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ZCSP-渭南市-2025-00302-1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2025年渭南市国省干线、重要农村公路工程验证性检测、复测、日常抽检及一般农村公路抽检试验第三方检测服务项目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拟对2025年渭南市国省干线、重要农村公路工程验证性检测、复测、日常抽检及一般农村公路抽检试验第三方检测服务项目。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采购包1（2025年渭南市国省干线、重要农村公路工程验证性检测、复测、日常抽检及一般农村公路抽检试验第三方检测服务项目）：属于专门面向中小企业采购。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1、营业执照等证明文件：具有独立承担民事责任能力的企业法人、其他组织或自然人。</w:t>
      </w:r>
    </w:p>
    <w:p>
      <w:pPr>
        <w:pStyle w:val="null3"/>
      </w:pPr>
      <w:r>
        <w:rPr>
          <w:rFonts w:ascii="仿宋_GB2312" w:hAnsi="仿宋_GB2312" w:cs="仿宋_GB2312" w:eastAsia="仿宋_GB2312"/>
        </w:rPr>
        <w:t>2、法定代表人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提供授权代表2025年1月1日至今任意1个月在本单位缴纳的养老保险证明）。</w:t>
      </w:r>
    </w:p>
    <w:p>
      <w:pPr>
        <w:pStyle w:val="null3"/>
      </w:pPr>
      <w:r>
        <w:rPr>
          <w:rFonts w:ascii="仿宋_GB2312" w:hAnsi="仿宋_GB2312" w:cs="仿宋_GB2312" w:eastAsia="仿宋_GB2312"/>
        </w:rPr>
        <w:t>3、税收缴纳证明和社会保障资金缴纳证明：①提供2025年1月1日至今已缴存的至少一个月的社会保障资金缴存单据或社保机构开具的社会保险参保缴费情况证明； ②提供2025年1月1日至今已缴存的至少一个月的纳税证明或完税证明。 注：依法免税或不需要缴纳社会保险的供应商提供相关部门出具的证明文件。</w:t>
      </w:r>
    </w:p>
    <w:p>
      <w:pPr>
        <w:pStyle w:val="null3"/>
      </w:pPr>
      <w:r>
        <w:rPr>
          <w:rFonts w:ascii="仿宋_GB2312" w:hAnsi="仿宋_GB2312" w:cs="仿宋_GB2312" w:eastAsia="仿宋_GB2312"/>
        </w:rPr>
        <w:t>4、财务状况报告：提供2024年度经审计的财务报告或开标前六个月内其基本账户银行出具的资信证明。</w:t>
      </w:r>
    </w:p>
    <w:p>
      <w:pPr>
        <w:pStyle w:val="null3"/>
      </w:pPr>
      <w:r>
        <w:rPr>
          <w:rFonts w:ascii="仿宋_GB2312" w:hAnsi="仿宋_GB2312" w:cs="仿宋_GB2312" w:eastAsia="仿宋_GB2312"/>
        </w:rPr>
        <w:t>5、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7、提供具有履行合同所必须的设备和专业技术能力的承诺书：提供具有履行合同所必须的设备和专业技术能力的承诺书。</w:t>
      </w:r>
    </w:p>
    <w:p>
      <w:pPr>
        <w:pStyle w:val="null3"/>
      </w:pPr>
      <w:r>
        <w:rPr>
          <w:rFonts w:ascii="仿宋_GB2312" w:hAnsi="仿宋_GB2312" w:cs="仿宋_GB2312" w:eastAsia="仿宋_GB2312"/>
        </w:rPr>
        <w:t>8、控股关系：单位负责人为同一人或者存在直接控股、管理关系的不同供应商，不得参加同一合同项下的政府采购活动。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9、企业资质：具备公路工程试验检测综合乙级及以上（含乙级）资质；具备相关行政部门颁发的检验检测机构资质认定证书（CMA认证）。</w:t>
      </w:r>
    </w:p>
    <w:p>
      <w:pPr>
        <w:pStyle w:val="null3"/>
      </w:pPr>
      <w:r>
        <w:rPr>
          <w:rFonts w:ascii="仿宋_GB2312" w:hAnsi="仿宋_GB2312" w:cs="仿宋_GB2312" w:eastAsia="仿宋_GB2312"/>
        </w:rPr>
        <w:t>10、项目负责人资质：须具有公路工程试验检测工程师证书和相关专业高级及以上技术职称。</w:t>
      </w:r>
    </w:p>
    <w:p>
      <w:pPr>
        <w:pStyle w:val="null3"/>
      </w:pPr>
      <w:r>
        <w:rPr>
          <w:rFonts w:ascii="仿宋_GB2312" w:hAnsi="仿宋_GB2312" w:cs="仿宋_GB2312" w:eastAsia="仿宋_GB2312"/>
        </w:rPr>
        <w:t>11、磋商保证金缴纳凭证或投标担保函：提供磋商保证金缴纳凭证或投标担保函复印件、代理公司开具的保证金收据。</w:t>
      </w:r>
    </w:p>
    <w:p>
      <w:pPr>
        <w:pStyle w:val="null3"/>
      </w:pPr>
      <w:r>
        <w:rPr>
          <w:rFonts w:ascii="仿宋_GB2312" w:hAnsi="仿宋_GB2312" w:cs="仿宋_GB2312" w:eastAsia="仿宋_GB2312"/>
        </w:rPr>
        <w:t>12、联合体磋商：本项目不接受联合体磋商。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渭南市交通工程质量监督站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严敏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0913-2111875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渭南市临渭区乐天大街仁和大厦前办公楼401室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开户银行：中国邮政储蓄银行股份有限公司渭南高新区支行</w:t>
            </w:r>
          </w:p>
          <w:p>
            <w:pPr>
              <w:pStyle w:val="null3"/>
            </w:pPr>
            <w:r>
              <w:rPr>
                <w:rFonts w:ascii="仿宋_GB2312" w:hAnsi="仿宋_GB2312" w:cs="仿宋_GB2312" w:eastAsia="仿宋_GB2312"/>
              </w:rPr>
              <w:t>银行账号：9610 5801 3000 1504 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收取按照国家计委颁布的《招标代理服务收费管理暂行办法》（计价格[2002]1980号）和（发改办价格[2003]857号）按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渭南市交通工程质量监督站</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渭南市交通工程质量监督站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渭南市交通工程质量监督站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1、质量标准:达到国家及行业验收合格标准。 2、本项目由采购人及相关部门对项目进行验收，验收内容以报告和服务天数进行结算。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联系人：陕西盈德工程咨询有限公司</w:t>
      </w:r>
    </w:p>
    <w:p>
      <w:pPr>
        <w:pStyle w:val="null3"/>
      </w:pPr>
      <w:r>
        <w:rPr>
          <w:rFonts w:ascii="仿宋_GB2312" w:hAnsi="仿宋_GB2312" w:cs="仿宋_GB2312" w:eastAsia="仿宋_GB2312"/>
        </w:rPr>
        <w:t>联系电话：18391580827</w:t>
      </w:r>
    </w:p>
    <w:p>
      <w:pPr>
        <w:pStyle w:val="null3"/>
      </w:pPr>
      <w:r>
        <w:rPr>
          <w:rFonts w:ascii="仿宋_GB2312" w:hAnsi="仿宋_GB2312" w:cs="仿宋_GB2312" w:eastAsia="仿宋_GB2312"/>
        </w:rPr>
        <w:t>地址：渭南市临渭区乐天大街仁和大厦前办公楼401室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拟对2025年渭南市国省干线、重要农村公路工程验证性检测、竣工复测、日常监督抽检及一般农村公路业务指导抽检试验进行第三方检测服务采购。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2025年渭南市国省干线、重要农村公路工程验证性检测、复测、日常抽检及一般农村公路抽检试验第三方检测服务项目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标的名称：2025年渭南市国省干线、重要农村公路工程验证性检测、复测、日常抽检及一般农村公路抽检试验第三方检测服务项目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服务内容：</w:t>
            </w:r>
            <w:r>
              <w:rPr>
                <w:rFonts w:ascii="仿宋_GB2312" w:hAnsi="仿宋_GB2312" w:cs="仿宋_GB2312" w:eastAsia="仿宋_GB2312"/>
                <w:sz w:val="20"/>
              </w:rPr>
              <w:t>（</w:t>
            </w:r>
            <w:r>
              <w:rPr>
                <w:rFonts w:ascii="仿宋_GB2312" w:hAnsi="仿宋_GB2312" w:cs="仿宋_GB2312" w:eastAsia="仿宋_GB2312"/>
                <w:sz w:val="20"/>
              </w:rPr>
              <w:t>1）按照陕西省交通运输工程质量监测鉴定站制定的核验办法所规定的检测指标和频率，对全市交工的公路工程项目进行验证性检测；（2）按照《公路工程竣（交）工验收办法与实施细则》的要求，对全市竣工的公路工程项目进行复测；（3）涉及市交通工程质监站监督的国省干线及重要农村公路建设项目工程实体、原材料及混合料等抽检试验；（4）各县(市、区)级质量监督机构所监督的农村公路建设项目(县乡公路、安全生命防护、通村路完善工程等)工程实体、原材料及混合料等抽检试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服务范围：</w:t>
            </w:r>
            <w:r>
              <w:rPr>
                <w:rFonts w:ascii="仿宋_GB2312" w:hAnsi="仿宋_GB2312" w:cs="仿宋_GB2312" w:eastAsia="仿宋_GB2312"/>
                <w:sz w:val="20"/>
              </w:rPr>
              <w:t>对渭南市所辖合阳县、澄城县、富平县、蒲城县、白水县、临渭区、华州区、高新区、华阴市、潼关县、大荔县等县（市、区）交通运输部门负责实施的国省干线、重要农村公路日常监督抽检试验及一般农村公路业务指导抽检试验提供第三方检测试验服务；对渭南市国省干线、重要农村公路工程交工验证性检测及竣工复测提供第三方检测试验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服务标准：</w:t>
            </w:r>
            <w:r>
              <w:rPr>
                <w:rFonts w:ascii="仿宋_GB2312" w:hAnsi="仿宋_GB2312" w:cs="仿宋_GB2312" w:eastAsia="仿宋_GB2312"/>
                <w:sz w:val="20"/>
              </w:rPr>
              <w:t>按照国家相关技术标准和陕西省、渭南市具体要求，完成相关检测并出具报告。</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服务效率：</w:t>
            </w:r>
            <w:r>
              <w:rPr>
                <w:rFonts w:ascii="仿宋_GB2312" w:hAnsi="仿宋_GB2312" w:cs="仿宋_GB2312" w:eastAsia="仿宋_GB2312"/>
                <w:sz w:val="20"/>
              </w:rPr>
              <w:t>在双方约定时间内保质高效出具检测报告。</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成果要求：按照国家相关技术标准和陕西省、渭南市具体要求，完成相关检测并出具报告。</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rPr>
              <w:t>保密要求：在项目实施过程中，对采购人所提供的所有相关资料、数据及分析数据和结果，未经采购人书面同意，不得向任何第三者涉露，且保密责任不因合同的终止或解除而失效。如采购人提出要求，成交人须无条件签订保密协议。项目完成后，成交人须把采购人提供的所有资料、数据完整归还采购人，并不得留存任何复制品。</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rPr>
              <w:t>需执行的国家相关标准、行业标准、地方标准或者其他标准、规范标准：</w:t>
            </w:r>
          </w:p>
          <w:p>
            <w:pPr>
              <w:pStyle w:val="null3"/>
              <w:jc w:val="both"/>
            </w:pPr>
            <w:r>
              <w:rPr>
                <w:rFonts w:ascii="仿宋_GB2312" w:hAnsi="仿宋_GB2312" w:cs="仿宋_GB2312" w:eastAsia="仿宋_GB2312"/>
                <w:sz w:val="20"/>
              </w:rPr>
              <w:t>在服务过程中遵循以下标准，若有最新规范标准，以最新版为准。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B01—2014）《公路工程技术标准》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3430-2020）《公路土工试验规程》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3420-2020）《公路工程水泥及水泥混凝土试验规程》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3441-2024）《公路工程无机结合料稳定材料试验规程》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3432-2024）《公路工程集料试验规程》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3450-2019）《公路路基路面现场测试规程》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E50-2006）《公路工程土工合成材料试验规程》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3431-2024）《公路工程岩石试验规程》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JTG/T J21-2011）《公路桥梁承载能力检测评定规程》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F80/1-2017）《公路工程质量检验评定标准》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C10-2007）《公路勘测规范》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228.1-2021）《金属材料 拉伸试验 第1部分：室温试验方法》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JTG E20-2011）《公路工程沥青及沥青混合料试验规程》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JGJ/T 152-2019）《混凝土中钢筋检测技术标准》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JG/T 203-2007）《钢结构超声波探伤及质量分级法》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16311-2024）《道路交通标线质量要求和检测方法》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18833-2012）《道路交通反光膜》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23827-2021）《道路交通标志板及支撑件》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31439.1-2015）《波形梁钢护栏 第1部分：两波形梁钢护栏》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31439.2-2015）《波形梁钢护栏 第2部分：三波形梁钢护栏》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18226-2015）《公路交通工程钢构件防腐技术条件》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GB/T 12334-2001）《金属和其他非有机覆盖层关于厚度测量的定义和一般规则》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项目拟投入人员均需为本单位员工，并缴纳养老保险。</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1、供应商应及时向采购人汇报项目实施情况。 2、人员配备合理。有针对本项目的专项服务小组，项目负责人、工作人员分工明确(应有具体成员名单，包括姓名、工作职责等)。 3、在服务期间,若供应商所拟派的工作人员发生任何伤害，采购人概不负责，由供应商自行处理。 4、供应商除提供成果文件外，还应负责协助采购人完成成果文件的评审、验收等工作。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1、质量标准:达到国家及行业验收合格标准。 2、本项目由采购人及相关部门对项目进行验收，验收内容以报告和服务天数进行结算。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8月31日前将完成检测项目业务量及结算资料报采购人审核，采购人接到结算审核申请后7日内予以审核，并在审核完成后14日根据实际完成业务量进行支付 </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12月31日前将完成检测项目业务量及结算资料报采购人审核，采购人接到结算审核申请后7日内予以审核，并在审核完成后14日根据实际完成业务量进行支付 </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1、磋商报价为折扣率报价。报价包括但不限于项目调研费、现场踏勘费、人工费、材料费、交通费、住宿费、管理费、税金、利润、风险以及采购文件规定的其他费用，服务期内采购人不再增加任何费用。 2、结算以《公路抽检试验收费参考标准》规定的价格×（1-折扣率）据实结算。 3、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具有独立承担民事责任能力的企业法人、其他组织或自然人。</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提供授权代表2025年1月1日至今任意1个月在本单位缴纳的养老保险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①提供2025年1月1日至今已缴存的至少一个月的社会保障资金缴存单据或社保机构开具的社会保险参保缴费情况证明； ②提供2025年1月1日至今已缴存的至少一个月的纳税证明或完税证明。 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具备公路工程试验检测综合乙级及以上（含乙级）资质；具备相关行政部门颁发的检验检测机构资质认定证书（CMA认证）。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须具有公路工程试验检测工程师证书和相关专业高级及以上技术职称。</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磋商保证金缴纳凭证或投标担保函</w:t>
            </w:r>
          </w:p>
        </w:tc>
        <w:tc>
          <w:tcPr>
            <w:tcW w:type="dxa" w:w="3322"/>
          </w:tcPr>
          <w:p>
            <w:pPr>
              <w:pStyle w:val="null3"/>
            </w:pPr>
            <w:r>
              <w:rPr>
                <w:rFonts w:ascii="仿宋_GB2312" w:hAnsi="仿宋_GB2312" w:cs="仿宋_GB2312" w:eastAsia="仿宋_GB2312"/>
              </w:rPr>
              <w:t>提供磋商保证金缴纳凭证或投标担保函复印件、代理公司开具的保证金收据。</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供应商名称应与营业执照一致</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应按磋商文件要求签章</w:t>
            </w:r>
          </w:p>
        </w:tc>
        <w:tc>
          <w:tcPr>
            <w:tcW w:type="dxa" w:w="1661"/>
          </w:tcPr>
          <w:p>
            <w:pPr>
              <w:pStyle w:val="null3"/>
            </w:pPr>
            <w:r>
              <w:rPr>
                <w:rFonts w:ascii="仿宋_GB2312" w:hAnsi="仿宋_GB2312" w:cs="仿宋_GB2312" w:eastAsia="仿宋_GB2312"/>
              </w:rPr>
              <w:t>保密措施.docx 服务内容及服务邀请应答表 人员配备.docx 中小企业声明函 商务应答表 检测仪器设备情况.docx 重点、难点分析及解决措施.docx 服务承诺.docx 报价表 项目实施方案.docx 响应文件封面 残疾人福利性单位声明函 业绩证明材料.docx 标的清单 应急预案、应急处理措施.docx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综合得分并列时，比较投标报价，此分项得分高者排序靠前；若投标报价得分仍相同，比较供应商技术部分得分，若该项得分还相同，由磋商小组无记名投票确定排名顺序。</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具有类似项目业绩，每提供一个2022年4月至今业绩计2分，满分4分。 （提供相关证明材料及在本单位缴纳社保证明）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投入本项目的其他主要人员</w:t>
            </w:r>
          </w:p>
        </w:tc>
        <w:tc>
          <w:tcPr>
            <w:tcW w:type="dxa" w:w="2492"/>
          </w:tcPr>
          <w:p>
            <w:pPr>
              <w:pStyle w:val="null3"/>
            </w:pPr>
            <w:r>
              <w:rPr>
                <w:rFonts w:ascii="仿宋_GB2312" w:hAnsi="仿宋_GB2312" w:cs="仿宋_GB2312" w:eastAsia="仿宋_GB2312"/>
              </w:rPr>
              <w:t>每配备一名检测工程师得1分，每配备一名检测员得0.5分，最高得6分。（提供相关证明材料及在本单位缴纳社保证明）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供应商2022年4月至今具有类似项目业绩。一个业绩得2分，最高得10分。 注：以合同签订日期为准。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提供针对本项目的项目实施方案，内容至少包括①项目组织架构；②实施标准；③工作方法；④工作部署与进度安排；⑤技术报告编写。 根据内容的完整性、合理性、针对性每小项得0-5分。满分25分。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检测仪器设备情况</w:t>
            </w:r>
          </w:p>
        </w:tc>
        <w:tc>
          <w:tcPr>
            <w:tcW w:type="dxa" w:w="2492"/>
          </w:tcPr>
          <w:p>
            <w:pPr>
              <w:pStyle w:val="null3"/>
            </w:pPr>
            <w:r>
              <w:rPr>
                <w:rFonts w:ascii="仿宋_GB2312" w:hAnsi="仿宋_GB2312" w:cs="仿宋_GB2312" w:eastAsia="仿宋_GB2312"/>
              </w:rPr>
              <w:t>根据供应商拟投入的检测仪器设备情况进行赋分。根据提供设备配备合理性，先进性、安全性及稳定性计0-4分； 注：以磋商响应文件中所附检测设备的主要检测仪器设备原始发票或租赁意向书或带有生效条件的租赁合同复印件或仪器设备检定证书或校准证书为准。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检测仪器设备情况.docx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提供针对本项目的重点、难点分析及解决措施，内容至少包括①重、难点分析；②风险点分析；③解决措施。 根据内容的完整性、合理性、针对性每小项得0-4分。满分12分。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重点、难点分析及解决措施.docx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提供针对本项目的保密措施，包含但不限于保密手段、人员保密管理、保密承诺等。 根据内容的完整性、合理性、针对性得0-5分。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应急预案、应急处理措施</w:t>
            </w:r>
          </w:p>
        </w:tc>
        <w:tc>
          <w:tcPr>
            <w:tcW w:type="dxa" w:w="2492"/>
          </w:tcPr>
          <w:p>
            <w:pPr>
              <w:pStyle w:val="null3"/>
            </w:pPr>
            <w:r>
              <w:rPr>
                <w:rFonts w:ascii="仿宋_GB2312" w:hAnsi="仿宋_GB2312" w:cs="仿宋_GB2312" w:eastAsia="仿宋_GB2312"/>
              </w:rPr>
              <w:t>根据本项目特点制定有效的应急预案、应急处理措施。 根据内容的完整性、合理性、针对性得0-5分。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应急预案、应急处理措施.docx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竞争性磋商文件和合同条款的要求，严格按照服务方案执行，根据其对服务期的响应、服务期内的质量、人员到位情况、承诺各管理项目指标达到国家相关标准、不能完全履行服务承诺时接受处罚等情况做出实质性承诺。根据承诺的可操作性、细节描述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最终磋商报价折扣率最大的为评标基准价折扣率得25分；其他供应商价格分按下列公式计算： 报价得分=[（1-评标基准价折扣率）/（1-折扣率）]×25%×100。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详见附件：检测仪器设备情况.docx</w:t>
      </w:r>
    </w:p>
    <w:p>
      <w:pPr>
        <w:pStyle w:val="null3"/>
        <w:ind w:firstLine="960"/>
      </w:pPr>
      <w:r>
        <w:rPr>
          <w:rFonts w:ascii="仿宋_GB2312" w:hAnsi="仿宋_GB2312" w:cs="仿宋_GB2312" w:eastAsia="仿宋_GB2312"/>
        </w:rPr>
        <w:t>详见附件：应急预案、应急处理措施.docx</w:t>
      </w:r>
    </w:p>
    <w:p>
      <w:pPr>
        <w:pStyle w:val="null3"/>
        <w:ind w:firstLine="960"/>
      </w:pPr>
      <w:r>
        <w:rPr>
          <w:rFonts w:ascii="仿宋_GB2312" w:hAnsi="仿宋_GB2312" w:cs="仿宋_GB2312" w:eastAsia="仿宋_GB2312"/>
        </w:rPr>
        <w:t>详见附件：重点、难点分析及解决措施.docx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详见附件：资格证明材料相关附件.docx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