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版本号：ZCSP-渭南市-2025-0048020250617002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防汛抢险物资补充及黄河防凌物资储备项目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ZCSP-渭南市-2025-00480</w:t>
      </w:r>
      <w:r>
        <w:br/>
      </w:r>
      <w:r>
        <w:br/>
      </w:r>
      <w:r>
        <w:br/>
      </w:r>
    </w:p>
    <w:p>
      <w:pPr>
        <w:pStyle w:val="null3"/>
        <w:jc w:val="center"/>
        <w:outlineLvl w:val="2"/>
      </w:pPr>
      <w:r>
        <w:rPr>
          <w:rFonts w:ascii="仿宋_GB2312" w:hAnsi="仿宋_GB2312" w:cs="仿宋_GB2312" w:eastAsia="仿宋_GB2312"/>
          <w:sz w:val="28"/>
          <w:b/>
        </w:rPr>
        <w:t>渭南市防汛抗旱物料储备中心</w:t>
      </w:r>
    </w:p>
    <w:p>
      <w:pPr>
        <w:pStyle w:val="null3"/>
        <w:jc w:val="center"/>
        <w:outlineLvl w:val="2"/>
      </w:pPr>
      <w:r>
        <w:rPr>
          <w:rFonts w:ascii="仿宋_GB2312" w:hAnsi="仿宋_GB2312" w:cs="仿宋_GB2312" w:eastAsia="仿宋_GB2312"/>
          <w:sz w:val="28"/>
          <w:b/>
        </w:rPr>
        <w:t>国正聚源工程咨询集团有限公司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2025年06月17日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国正聚源工程咨询集团有限公司</w:t>
      </w:r>
      <w:r>
        <w:rPr>
          <w:rFonts w:ascii="仿宋_GB2312" w:hAnsi="仿宋_GB2312" w:cs="仿宋_GB2312" w:eastAsia="仿宋_GB2312"/>
        </w:rPr>
        <w:t>（以下简称“代理机构”）受</w:t>
      </w:r>
      <w:r>
        <w:rPr>
          <w:rFonts w:ascii="仿宋_GB2312" w:hAnsi="仿宋_GB2312" w:cs="仿宋_GB2312" w:eastAsia="仿宋_GB2312"/>
        </w:rPr>
        <w:t>渭南市防汛抗旱物料储备中心</w:t>
      </w:r>
      <w:r>
        <w:rPr>
          <w:rFonts w:ascii="仿宋_GB2312" w:hAnsi="仿宋_GB2312" w:cs="仿宋_GB2312" w:eastAsia="仿宋_GB2312"/>
        </w:rPr>
        <w:t>委托，拟对</w:t>
      </w:r>
      <w:r>
        <w:rPr>
          <w:rFonts w:ascii="仿宋_GB2312" w:hAnsi="仿宋_GB2312" w:cs="仿宋_GB2312" w:eastAsia="仿宋_GB2312"/>
        </w:rPr>
        <w:t>防汛抢险物资补充及黄河防凌物资储备项目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ZCSP-渭南市-2025-00480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防汛抢险物资补充及黄河防凌物资储备项目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本项目完成防汛抢险物资补充及黄河防凌物资储备项目，主要采购强光手电、复合士工膜、编织袋、彩布条、铅丝笼（详见招标文件）</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采购包1（防汛抢险物资补充及黄河防凌物资储备项目）：属于专门面向中小企业采购。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1、具有独立承担民事责任的能力：须具有独立承担民事责任能力的法人、其他组织或自然人，并出具合法有效的营业执照，自然人参与的提供其身份证明文件；</w:t>
      </w:r>
    </w:p>
    <w:p>
      <w:pPr>
        <w:pStyle w:val="null3"/>
      </w:pPr>
      <w:r>
        <w:rPr>
          <w:rFonts w:ascii="仿宋_GB2312" w:hAnsi="仿宋_GB2312" w:cs="仿宋_GB2312" w:eastAsia="仿宋_GB2312"/>
        </w:rPr>
        <w:t>2、应授权合法的人员参加投标全过程：应授权合法的人员参加投标，其中法定代表人直接参加投标，须出具法定代表人身份证，并与营业执照上信息一致。法定代表人授权代表参加投标，须出具法定代表人授权书及授权代表身份证原件；</w:t>
      </w:r>
    </w:p>
    <w:p>
      <w:pPr>
        <w:pStyle w:val="null3"/>
      </w:pPr>
      <w:r>
        <w:rPr>
          <w:rFonts w:ascii="仿宋_GB2312" w:hAnsi="仿宋_GB2312" w:cs="仿宋_GB2312" w:eastAsia="仿宋_GB2312"/>
        </w:rPr>
        <w:t>3、财务状况报告：提供具有财务审计资质单位出具的2024年度财务报告(成立时间至开标时间不足一年的可提供成立后任意时段的资产负债表)或2025年1月份至今基本账户银行出具的资信证明或政府采购信用担保机构出具的担保函</w:t>
      </w:r>
    </w:p>
    <w:p>
      <w:pPr>
        <w:pStyle w:val="null3"/>
      </w:pPr>
      <w:r>
        <w:rPr>
          <w:rFonts w:ascii="仿宋_GB2312" w:hAnsi="仿宋_GB2312" w:cs="仿宋_GB2312" w:eastAsia="仿宋_GB2312"/>
        </w:rPr>
        <w:t>4、税收缴纳证明：有依法缴纳税收和社会保障资金的良好记录，提供2025年1月份至今任意一个月依法缴纳税收和社会保障资金的相关材料，（依法免税的应提供相关文件证明）；</w:t>
      </w:r>
    </w:p>
    <w:p>
      <w:pPr>
        <w:pStyle w:val="null3"/>
      </w:pPr>
      <w:r>
        <w:rPr>
          <w:rFonts w:ascii="仿宋_GB2312" w:hAnsi="仿宋_GB2312" w:cs="仿宋_GB2312" w:eastAsia="仿宋_GB2312"/>
        </w:rPr>
        <w:t>5、具有履行合同所必需的设备和专业技术能力：具备履行合同所必需的设备和专业技术能力的证明材料，提供承诺书</w:t>
      </w:r>
    </w:p>
    <w:p>
      <w:pPr>
        <w:pStyle w:val="null3"/>
      </w:pPr>
      <w:r>
        <w:rPr>
          <w:rFonts w:ascii="仿宋_GB2312" w:hAnsi="仿宋_GB2312" w:cs="仿宋_GB2312" w:eastAsia="仿宋_GB2312"/>
        </w:rPr>
        <w:t>6、参加政府采购活动前三年内在经营活动中没有重大违法记录：提供参加政府采购活动前三年内在经营活动中没有重大违法记录的书面声明</w:t>
      </w:r>
    </w:p>
    <w:p>
      <w:pPr>
        <w:pStyle w:val="null3"/>
      </w:pPr>
      <w:r>
        <w:rPr>
          <w:rFonts w:ascii="仿宋_GB2312" w:hAnsi="仿宋_GB2312" w:cs="仿宋_GB2312" w:eastAsia="仿宋_GB2312"/>
        </w:rPr>
        <w:t>7、信用评价：未被《信用中国》(网站:www.creditchina.gov.cn)列入重大税收违法失信主体、未被《中国执行信息公开网》(网站:http://zxgk.court.gov.cn/shixin/)列入失信被执行人及未被《中国政府采购网》(网站:www.ccgp.gov.cn)列入政府采购严重违法失信行为记录名单。 注：如相关失信记录已失效，投标人需提供相关证明资料，若没有则此项不需要提供，以代理机构现场查询为准</w:t>
      </w:r>
    </w:p>
    <w:p>
      <w:pPr>
        <w:pStyle w:val="null3"/>
      </w:pPr>
      <w:r>
        <w:rPr>
          <w:rFonts w:ascii="仿宋_GB2312" w:hAnsi="仿宋_GB2312" w:cs="仿宋_GB2312" w:eastAsia="仿宋_GB2312"/>
        </w:rPr>
        <w:t>8、非联合体投标：本项目不接受联合体投标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渭南市防汛抗旱物料储备中心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渭南市高新北区阳曲街道黑杨村</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赵工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0913-218362</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国正聚源工程咨询集团有限公司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陕西省西安市雁塔区陕西省西安市雁塔区小寨东路126号百隆广场1幢1单元1803-1804</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席兰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15129916448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采购包1：790,000.00元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开户名称：国正聚源工程咨询集团有限公司渭南分公司</w:t>
            </w:r>
          </w:p>
          <w:p>
            <w:pPr>
              <w:pStyle w:val="null3"/>
            </w:pPr>
            <w:r>
              <w:rPr>
                <w:rFonts w:ascii="仿宋_GB2312" w:hAnsi="仿宋_GB2312" w:cs="仿宋_GB2312" w:eastAsia="仿宋_GB2312"/>
              </w:rPr>
              <w:t>开户银行：中国建设银行股份有限公司渭南电信支行</w:t>
            </w:r>
          </w:p>
          <w:p>
            <w:pPr>
              <w:pStyle w:val="null3"/>
            </w:pPr>
            <w:r>
              <w:rPr>
                <w:rFonts w:ascii="仿宋_GB2312" w:hAnsi="仿宋_GB2312" w:cs="仿宋_GB2312" w:eastAsia="仿宋_GB2312"/>
              </w:rPr>
              <w:t>银行账号：61050164280000000282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 的通知》 ( 计价格〔2002〕1980号）、《国家发展改革委员会办公厅关于招标代理服务收费有关问题的 通知》（发改办价格〔2003〕857号）的规定标准执行，按差额定率累进法收取费用，100万 以下按1.5%收取，100万-500万按1.1%收取。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渭南市防汛抗旱物料储备中心</w:t>
      </w:r>
      <w:r>
        <w:rPr>
          <w:rFonts w:ascii="仿宋_GB2312" w:hAnsi="仿宋_GB2312" w:cs="仿宋_GB2312" w:eastAsia="仿宋_GB2312"/>
        </w:rPr>
        <w:t>和</w:t>
      </w:r>
      <w:r>
        <w:rPr>
          <w:rFonts w:ascii="仿宋_GB2312" w:hAnsi="仿宋_GB2312" w:cs="仿宋_GB2312" w:eastAsia="仿宋_GB2312"/>
        </w:rPr>
        <w:t>国正聚源工程咨询集团有限公司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渭南市防汛抗旱物料储备中心</w:t>
      </w:r>
      <w:r>
        <w:rPr>
          <w:rFonts w:ascii="仿宋_GB2312" w:hAnsi="仿宋_GB2312" w:cs="仿宋_GB2312" w:eastAsia="仿宋_GB2312"/>
        </w:rPr>
        <w:t>负责解释。除上述招标文件内容，其他内容由</w:t>
      </w:r>
      <w:r>
        <w:rPr>
          <w:rFonts w:ascii="仿宋_GB2312" w:hAnsi="仿宋_GB2312" w:cs="仿宋_GB2312" w:eastAsia="仿宋_GB2312"/>
        </w:rPr>
        <w:t>国正聚源工程咨询集团有限公司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渭南市防汛抗旱物料储备中心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国正聚源工程咨询集团有限公司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达到国家等相关部门验收标准</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国正聚源工程咨询集团有限公司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国正聚源工程咨询集团有限公司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国正聚源工程咨询集团有限公司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联系人：席兰</w:t>
      </w:r>
    </w:p>
    <w:p>
      <w:pPr>
        <w:pStyle w:val="null3"/>
      </w:pPr>
      <w:r>
        <w:rPr>
          <w:rFonts w:ascii="仿宋_GB2312" w:hAnsi="仿宋_GB2312" w:cs="仿宋_GB2312" w:eastAsia="仿宋_GB2312"/>
        </w:rPr>
        <w:t>联系电话：15129916448</w:t>
      </w:r>
    </w:p>
    <w:p>
      <w:pPr>
        <w:pStyle w:val="null3"/>
      </w:pPr>
      <w:r>
        <w:rPr>
          <w:rFonts w:ascii="仿宋_GB2312" w:hAnsi="仿宋_GB2312" w:cs="仿宋_GB2312" w:eastAsia="仿宋_GB2312"/>
        </w:rPr>
        <w:t>地址：陕西省西安市雁塔区陕西省西安市雁塔区小寨东路126号百隆广场1幢1单元1803-1804</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主要采购强光手电、复合士工膜、编织袋、彩布条、铅丝笼，详见招标文件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790,000.00</w:t>
      </w:r>
    </w:p>
    <w:p>
      <w:pPr>
        <w:pStyle w:val="null3"/>
      </w:pPr>
      <w:r>
        <w:rPr>
          <w:rFonts w:ascii="仿宋_GB2312" w:hAnsi="仿宋_GB2312" w:cs="仿宋_GB2312" w:eastAsia="仿宋_GB2312"/>
        </w:rPr>
        <w:t>采购包最高限价（元）: 790,000.00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防汛抢险物资补充及黄河防凌物资储备项目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790,000.00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标的名称：防汛抢险物资补充及黄河防凌物资储备项目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b/>
              </w:rPr>
              <w:t>本项目彩条布为核心产品</w:t>
            </w:r>
            <w:r>
              <w:rPr>
                <w:rFonts w:ascii="仿宋_GB2312" w:hAnsi="仿宋_GB2312" w:cs="仿宋_GB2312" w:eastAsia="仿宋_GB2312"/>
              </w:rPr>
              <w:t>。根据《政府采购货物和服务招标投标管理办法》相关规定，单一产品采购项目提供相同品牌产品或非单一产品采购项目多家投标人提供的核心产品品牌相同的且通过资格审查、符合性审查的不同投标人参加同一合同项下投标的，按一家投标人计算，评审后得分最高的同品牌投标人获得中标候选人推荐资格；评审得分相同的，由采购人或者采购人委托评标委员会按照报价得分最高的方式确定一个投标人获得中标候选人推荐资格。</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tbl>
            <w:tblPr>
              <w:tblBorders>
                <w:top w:val="single"/>
                <w:left w:val="single"/>
                <w:bottom w:val="single"/>
                <w:right w:val="single"/>
                <w:insideH w:val="single"/>
                <w:insideV w:val="single"/>
              </w:tblBorders>
            </w:tblPr>
            <w:tblGrid>
              <w:gridCol w:w="253"/>
              <w:gridCol w:w="287"/>
              <w:gridCol w:w="1252"/>
              <w:gridCol w:w="222"/>
              <w:gridCol w:w="287"/>
              <w:gridCol w:w="250"/>
            </w:tblGrid>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序号</w:t>
                  </w:r>
                </w:p>
              </w:tc>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名称</w:t>
                  </w:r>
                </w:p>
              </w:tc>
              <w:tc>
                <w:tcPr>
                  <w:tcW w:type="dxa" w:w="12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规格</w:t>
                  </w:r>
                </w:p>
              </w:tc>
              <w:tc>
                <w:tcPr>
                  <w:tcW w:type="dxa" w:w="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单位</w:t>
                  </w:r>
                </w:p>
              </w:tc>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数量</w:t>
                  </w:r>
                </w:p>
              </w:tc>
              <w:tc>
                <w:tcPr>
                  <w:tcW w:type="dxa" w:w="2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8"/>
                      <w:color w:val="000000"/>
                    </w:rPr>
                    <w:t>备注</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w:t>
                  </w:r>
                </w:p>
              </w:tc>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编织袋</w:t>
                  </w:r>
                </w:p>
              </w:tc>
              <w:tc>
                <w:tcPr>
                  <w:tcW w:type="dxa" w:w="12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尺寸：50*100cm</w:t>
                  </w:r>
                  <w:r>
                    <w:br/>
                  </w:r>
                  <w:r>
                    <w:rPr>
                      <w:rFonts w:ascii="仿宋_GB2312" w:hAnsi="仿宋_GB2312" w:cs="仿宋_GB2312" w:eastAsia="仿宋_GB2312"/>
                      <w:sz w:val="24"/>
                      <w:color w:val="000000"/>
                    </w:rPr>
                    <w:t xml:space="preserve"> 颜色：白色</w:t>
                  </w:r>
                  <w:r>
                    <w:br/>
                  </w:r>
                  <w:r>
                    <w:rPr>
                      <w:rFonts w:ascii="仿宋_GB2312" w:hAnsi="仿宋_GB2312" w:cs="仿宋_GB2312" w:eastAsia="仿宋_GB2312"/>
                      <w:sz w:val="24"/>
                      <w:color w:val="000000"/>
                    </w:rPr>
                    <w:t xml:space="preserve"> 重量：≥80g/条</w:t>
                  </w:r>
                  <w:r>
                    <w:br/>
                  </w:r>
                  <w:r>
                    <w:rPr>
                      <w:rFonts w:ascii="仿宋_GB2312" w:hAnsi="仿宋_GB2312" w:cs="仿宋_GB2312" w:eastAsia="仿宋_GB2312"/>
                      <w:sz w:val="24"/>
                      <w:color w:val="000000"/>
                    </w:rPr>
                    <w:t xml:space="preserve"> 每500条避光包装，机械打包4道</w:t>
                  </w:r>
                </w:p>
              </w:tc>
              <w:tc>
                <w:tcPr>
                  <w:tcW w:type="dxa" w:w="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条</w:t>
                  </w:r>
                </w:p>
              </w:tc>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100000</w:t>
                  </w:r>
                </w:p>
              </w:tc>
              <w:tc>
                <w:tcPr>
                  <w:tcW w:type="dxa" w:w="2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2</w:t>
                  </w:r>
                </w:p>
              </w:tc>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彩条布</w:t>
                  </w:r>
                </w:p>
              </w:tc>
              <w:tc>
                <w:tcPr>
                  <w:tcW w:type="dxa" w:w="12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尺寸：6*50m独立包装</w:t>
                  </w:r>
                  <w:r>
                    <w:br/>
                  </w:r>
                  <w:r>
                    <w:rPr>
                      <w:rFonts w:ascii="仿宋_GB2312" w:hAnsi="仿宋_GB2312" w:cs="仿宋_GB2312" w:eastAsia="仿宋_GB2312"/>
                      <w:sz w:val="24"/>
                      <w:color w:val="000000"/>
                    </w:rPr>
                    <w:t xml:space="preserve"> 颜色：三色/五色</w:t>
                  </w:r>
                  <w:r>
                    <w:br/>
                  </w:r>
                  <w:r>
                    <w:rPr>
                      <w:rFonts w:ascii="仿宋_GB2312" w:hAnsi="仿宋_GB2312" w:cs="仿宋_GB2312" w:eastAsia="仿宋_GB2312"/>
                      <w:sz w:val="24"/>
                      <w:color w:val="000000"/>
                    </w:rPr>
                    <w:t xml:space="preserve"> 重量：≥120g/m</w:t>
                  </w:r>
                  <w:r>
                    <w:rPr>
                      <w:rFonts w:ascii="仿宋_GB2312" w:hAnsi="仿宋_GB2312" w:cs="仿宋_GB2312" w:eastAsia="仿宋_GB2312"/>
                      <w:sz w:val="24"/>
                      <w:color w:val="000000"/>
                    </w:rPr>
                    <w:t>2</w:t>
                  </w:r>
                  <w:r>
                    <w:br/>
                  </w:r>
                  <w:r>
                    <w:rPr>
                      <w:rFonts w:ascii="仿宋_GB2312" w:hAnsi="仿宋_GB2312" w:cs="仿宋_GB2312" w:eastAsia="仿宋_GB2312"/>
                      <w:sz w:val="24"/>
                      <w:color w:val="000000"/>
                    </w:rPr>
                    <w:t>材质：全新聚乙烯（PE）+双面覆膜</w:t>
                  </w:r>
                </w:p>
              </w:tc>
              <w:tc>
                <w:tcPr>
                  <w:tcW w:type="dxa" w:w="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m</w:t>
                  </w:r>
                  <w:r>
                    <w:rPr>
                      <w:rFonts w:ascii="仿宋_GB2312" w:hAnsi="仿宋_GB2312" w:cs="仿宋_GB2312" w:eastAsia="仿宋_GB2312"/>
                      <w:sz w:val="24"/>
                      <w:color w:val="000000"/>
                    </w:rPr>
                    <w:t>2</w:t>
                  </w:r>
                </w:p>
              </w:tc>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90000</w:t>
                  </w:r>
                </w:p>
              </w:tc>
              <w:tc>
                <w:tcPr>
                  <w:tcW w:type="dxa" w:w="2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3</w:t>
                  </w:r>
                </w:p>
              </w:tc>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强光手电</w:t>
                  </w:r>
                </w:p>
              </w:tc>
              <w:tc>
                <w:tcPr>
                  <w:tcW w:type="dxa" w:w="12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光源类型：便携式LED光源</w:t>
                  </w:r>
                  <w:r>
                    <w:br/>
                  </w:r>
                  <w:r>
                    <w:rPr>
                      <w:rFonts w:ascii="仿宋_GB2312" w:hAnsi="仿宋_GB2312" w:cs="仿宋_GB2312" w:eastAsia="仿宋_GB2312"/>
                      <w:sz w:val="24"/>
                      <w:color w:val="000000"/>
                    </w:rPr>
                    <w:t xml:space="preserve"> 防护等级：IP66</w:t>
                  </w:r>
                  <w:r>
                    <w:br/>
                  </w:r>
                  <w:r>
                    <w:rPr>
                      <w:rFonts w:ascii="仿宋_GB2312" w:hAnsi="仿宋_GB2312" w:cs="仿宋_GB2312" w:eastAsia="仿宋_GB2312"/>
                      <w:sz w:val="24"/>
                      <w:color w:val="000000"/>
                    </w:rPr>
                    <w:t xml:space="preserve"> 放电时间：强光10h/工作光20h</w:t>
                  </w:r>
                  <w:r>
                    <w:br/>
                  </w:r>
                  <w:r>
                    <w:rPr>
                      <w:rFonts w:ascii="仿宋_GB2312" w:hAnsi="仿宋_GB2312" w:cs="仿宋_GB2312" w:eastAsia="仿宋_GB2312"/>
                      <w:sz w:val="24"/>
                      <w:color w:val="000000"/>
                    </w:rPr>
                    <w:t xml:space="preserve"> 其他功能：爆闪</w:t>
                  </w:r>
                </w:p>
              </w:tc>
              <w:tc>
                <w:tcPr>
                  <w:tcW w:type="dxa" w:w="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把</w:t>
                  </w:r>
                </w:p>
              </w:tc>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400</w:t>
                  </w:r>
                </w:p>
              </w:tc>
              <w:tc>
                <w:tcPr>
                  <w:tcW w:type="dxa" w:w="2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4</w:t>
                  </w:r>
                </w:p>
              </w:tc>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复合土工膜</w:t>
                  </w:r>
                </w:p>
              </w:tc>
              <w:tc>
                <w:tcPr>
                  <w:tcW w:type="dxa" w:w="12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规格：两布一膜</w:t>
                  </w:r>
                  <w:r>
                    <w:br/>
                  </w:r>
                  <w:r>
                    <w:rPr>
                      <w:rFonts w:ascii="仿宋_GB2312" w:hAnsi="仿宋_GB2312" w:cs="仿宋_GB2312" w:eastAsia="仿宋_GB2312"/>
                      <w:sz w:val="24"/>
                      <w:color w:val="000000"/>
                    </w:rPr>
                    <w:t>尺寸：4*50m独立包装</w:t>
                  </w:r>
                  <w:r>
                    <w:br/>
                  </w:r>
                  <w:r>
                    <w:rPr>
                      <w:rFonts w:ascii="仿宋_GB2312" w:hAnsi="仿宋_GB2312" w:cs="仿宋_GB2312" w:eastAsia="仿宋_GB2312"/>
                      <w:sz w:val="24"/>
                      <w:color w:val="000000"/>
                    </w:rPr>
                    <w:t xml:space="preserve"> 重量：700g/m</w:t>
                  </w:r>
                  <w:r>
                    <w:rPr>
                      <w:rFonts w:ascii="仿宋_GB2312" w:hAnsi="仿宋_GB2312" w:cs="仿宋_GB2312" w:eastAsia="仿宋_GB2312"/>
                      <w:sz w:val="24"/>
                      <w:color w:val="000000"/>
                    </w:rPr>
                    <w:t>2</w:t>
                  </w:r>
                  <w:r>
                    <w:rPr>
                      <w:rFonts w:ascii="仿宋_GB2312" w:hAnsi="仿宋_GB2312" w:cs="仿宋_GB2312" w:eastAsia="仿宋_GB2312"/>
                      <w:sz w:val="24"/>
                      <w:color w:val="000000"/>
                    </w:rPr>
                    <w:t>（200+300+200）</w:t>
                  </w:r>
                </w:p>
              </w:tc>
              <w:tc>
                <w:tcPr>
                  <w:tcW w:type="dxa" w:w="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m</w:t>
                  </w:r>
                  <w:r>
                    <w:rPr>
                      <w:rFonts w:ascii="仿宋_GB2312" w:hAnsi="仿宋_GB2312" w:cs="仿宋_GB2312" w:eastAsia="仿宋_GB2312"/>
                      <w:sz w:val="24"/>
                      <w:color w:val="000000"/>
                    </w:rPr>
                    <w:t>2</w:t>
                  </w:r>
                </w:p>
              </w:tc>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8000</w:t>
                  </w:r>
                </w:p>
              </w:tc>
              <w:tc>
                <w:tcPr>
                  <w:tcW w:type="dxa" w:w="2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w:t>
                  </w:r>
                </w:p>
              </w:tc>
            </w:tr>
            <w:tr>
              <w:tc>
                <w:tcPr>
                  <w:tcW w:type="dxa" w:w="253"/>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5</w:t>
                  </w:r>
                </w:p>
              </w:tc>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铅丝石笼</w:t>
                  </w:r>
                </w:p>
              </w:tc>
              <w:tc>
                <w:tcPr>
                  <w:tcW w:type="dxa" w:w="125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left"/>
                  </w:pPr>
                  <w:r>
                    <w:rPr>
                      <w:rFonts w:ascii="仿宋_GB2312" w:hAnsi="仿宋_GB2312" w:cs="仿宋_GB2312" w:eastAsia="仿宋_GB2312"/>
                      <w:sz w:val="24"/>
                      <w:color w:val="000000"/>
                    </w:rPr>
                    <w:t>材质：镀锌丝</w:t>
                  </w:r>
                  <w:r>
                    <w:br/>
                  </w:r>
                  <w:r>
                    <w:rPr>
                      <w:rFonts w:ascii="仿宋_GB2312" w:hAnsi="仿宋_GB2312" w:cs="仿宋_GB2312" w:eastAsia="仿宋_GB2312"/>
                      <w:sz w:val="24"/>
                      <w:color w:val="000000"/>
                    </w:rPr>
                    <w:t xml:space="preserve"> 尺寸：2*1*1m</w:t>
                  </w:r>
                  <w:r>
                    <w:br/>
                  </w:r>
                  <w:r>
                    <w:rPr>
                      <w:rFonts w:ascii="仿宋_GB2312" w:hAnsi="仿宋_GB2312" w:cs="仿宋_GB2312" w:eastAsia="仿宋_GB2312"/>
                      <w:sz w:val="24"/>
                      <w:color w:val="000000"/>
                    </w:rPr>
                    <w:t xml:space="preserve"> 网孔：15*15cm</w:t>
                  </w:r>
                  <w:r>
                    <w:br/>
                  </w:r>
                  <w:r>
                    <w:rPr>
                      <w:rFonts w:ascii="仿宋_GB2312" w:hAnsi="仿宋_GB2312" w:cs="仿宋_GB2312" w:eastAsia="仿宋_GB2312"/>
                      <w:sz w:val="24"/>
                      <w:color w:val="000000"/>
                    </w:rPr>
                    <w:t xml:space="preserve"> 丝径：3-4mm</w:t>
                  </w:r>
                </w:p>
              </w:tc>
              <w:tc>
                <w:tcPr>
                  <w:tcW w:type="dxa" w:w="222"/>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套</w:t>
                  </w:r>
                </w:p>
              </w:tc>
              <w:tc>
                <w:tcPr>
                  <w:tcW w:type="dxa" w:w="287"/>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1000</w:t>
                  </w:r>
                </w:p>
              </w:tc>
              <w:tc>
                <w:tcPr>
                  <w:tcW w:type="dxa" w:w="250"/>
                  <w:tcBorders>
                    <w:top w:val="single" w:color="000000" w:sz="4"/>
                    <w:left w:val="single" w:color="000000" w:sz="4"/>
                    <w:bottom w:val="single" w:color="000000" w:sz="4"/>
                    <w:right w:val="single" w:color="000000" w:sz="4"/>
                  </w:tcBorders>
                  <w:tcMar>
                    <w:top w:type="dxa" w:w="15"/>
                    <w:left w:type="dxa" w:w="15"/>
                    <w:right w:type="dxa" w:w="15"/>
                  </w:tcMar>
                  <w:vAlign w:val="center"/>
                </w:tcPr>
                <w:p>
                  <w:pPr>
                    <w:pStyle w:val="null3"/>
                    <w:jc w:val="center"/>
                  </w:pPr>
                  <w:r>
                    <w:rPr>
                      <w:rFonts w:ascii="仿宋_GB2312" w:hAnsi="仿宋_GB2312" w:cs="仿宋_GB2312" w:eastAsia="仿宋_GB2312"/>
                      <w:sz w:val="24"/>
                      <w:color w:val="000000"/>
                    </w:rPr>
                    <w:t>/</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合同签订后10日历日交货</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渭南市防汛抗旱物料储备中心院内</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本项目验收合格后一次性支付全部的合同价款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符合国家法律法规规定的合格标准，招标文件的要求</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符合国家法律法规规定的合格标准，招标文件的要求</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整体服务方案.docx 投标文件封面 资格证明文件.docx 监狱企业的证明文件</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具有独立承担民事责任的能力</w:t>
            </w:r>
          </w:p>
        </w:tc>
        <w:tc>
          <w:tcPr>
            <w:tcW w:type="dxa" w:w="3322"/>
          </w:tcPr>
          <w:p>
            <w:pPr>
              <w:pStyle w:val="null3"/>
            </w:pPr>
            <w:r>
              <w:rPr>
                <w:rFonts w:ascii="仿宋_GB2312" w:hAnsi="仿宋_GB2312" w:cs="仿宋_GB2312" w:eastAsia="仿宋_GB2312"/>
              </w:rPr>
              <w:t>须具有独立承担民事责任能力的法人、其他组织或自然人，并出具合法有效的营业执照，自然人参与的提供其身份证明文件；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应授权合法的人员参加投标全过程</w:t>
            </w:r>
          </w:p>
        </w:tc>
        <w:tc>
          <w:tcPr>
            <w:tcW w:type="dxa" w:w="3322"/>
          </w:tcPr>
          <w:p>
            <w:pPr>
              <w:pStyle w:val="null3"/>
            </w:pPr>
            <w:r>
              <w:rPr>
                <w:rFonts w:ascii="仿宋_GB2312" w:hAnsi="仿宋_GB2312" w:cs="仿宋_GB2312" w:eastAsia="仿宋_GB2312"/>
              </w:rPr>
              <w:t>应授权合法的人员参加投标，其中法定代表人直接参加投标，须出具法定代表人身份证，并与营业执照上信息一致。法定代表人授权代表参加投标，须出具法定代表人授权书及授权代表身份证原件；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提供具有财务审计资质单位出具的2024年度财务报告(成立时间至开标时间不足一年的可提供成立后任意时段的资产负债表)或2025年1月份至今基本账户银行出具的资信证明或政府采购信用担保机构出具的担保函</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有依法缴纳税收和社会保障资金的良好记录，提供2025年1月份至今任意一个月依法缴纳税收和社会保障资金的相关材料，（依法免税的应提供相关文件证明）；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w:t>
            </w:r>
          </w:p>
        </w:tc>
        <w:tc>
          <w:tcPr>
            <w:tcW w:type="dxa" w:w="3322"/>
          </w:tcPr>
          <w:p>
            <w:pPr>
              <w:pStyle w:val="null3"/>
            </w:pPr>
            <w:r>
              <w:rPr>
                <w:rFonts w:ascii="仿宋_GB2312" w:hAnsi="仿宋_GB2312" w:cs="仿宋_GB2312" w:eastAsia="仿宋_GB2312"/>
              </w:rPr>
              <w:t>具备履行合同所必需的设备和专业技术能力的证明材料，提供承诺书</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参加政府采购活动前三年内在经营活动中没有重大违法记录</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信用评价</w:t>
            </w:r>
          </w:p>
        </w:tc>
        <w:tc>
          <w:tcPr>
            <w:tcW w:type="dxa" w:w="3322"/>
          </w:tcPr>
          <w:p>
            <w:pPr>
              <w:pStyle w:val="null3"/>
            </w:pPr>
            <w:r>
              <w:rPr>
                <w:rFonts w:ascii="仿宋_GB2312" w:hAnsi="仿宋_GB2312" w:cs="仿宋_GB2312" w:eastAsia="仿宋_GB2312"/>
              </w:rPr>
              <w:t>未被《信用中国》(网站:www.creditchina.gov.cn)列入重大税收违法失信主体、未被《中国执行信息公开网》(网站:http://zxgk.court.gov.cn/shixin/)列入失信被执行人及未被《中国政府采购网》(网站:www.ccgp.gov.cn)列入政府采购严重违法失信行为记录名单。 注：如相关失信记录已失效，投标人需提供相关证明资料，若没有则此项不需要提供，以代理机构现场查询为准</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本项目不接受联合体投标</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详细评审100.00分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投标报价</w:t>
            </w:r>
          </w:p>
        </w:tc>
        <w:tc>
          <w:tcPr>
            <w:tcW w:type="dxa" w:w="2492"/>
          </w:tcPr>
          <w:p>
            <w:pPr>
              <w:pStyle w:val="null3"/>
            </w:pPr>
            <w:r>
              <w:rPr>
                <w:rFonts w:ascii="仿宋_GB2312" w:hAnsi="仿宋_GB2312" w:cs="仿宋_GB2312" w:eastAsia="仿宋_GB2312"/>
              </w:rPr>
              <w:t>满足招标文件要求且报价最低的价格为基准价得50分，其他各投标人的报价得分按下列公式计算： 报价得分=（投标基准价/投标报价）×50 项目评审过程中，不得去掉报价中的最高报价和最低报价。</w:t>
            </w:r>
          </w:p>
        </w:tc>
        <w:tc>
          <w:tcPr>
            <w:tcW w:type="dxa" w:w="831"/>
          </w:tcPr>
          <w:p>
            <w:pPr>
              <w:pStyle w:val="null3"/>
              <w:jc w:val="right"/>
            </w:pPr>
            <w:r>
              <w:rPr>
                <w:rFonts w:ascii="仿宋_GB2312" w:hAnsi="仿宋_GB2312" w:cs="仿宋_GB2312" w:eastAsia="仿宋_GB2312"/>
              </w:rPr>
              <w:t>50.0000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整体服务方案.docx</w:t>
            </w:r>
          </w:p>
        </w:tc>
      </w:tr>
      <w:tr>
        <w:tc>
          <w:tcPr>
            <w:tcW w:type="dxa" w:w="831"/>
            <w:vMerge/>
          </w:tcP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供应商提供所投产品的主要技术指标(参数)的相应的证明材料(包括但不限于产品检测报告、合格证书等技术支持性文件(资料)并经评审专家审定方可得分。 优于或完全符合招标文件要求得10分，参数负偏离一项扣2分，扣完为止。 不提供的不得分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整体服务方案.docx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供应商针对本项目提出具体的供货方案，方案内容包含但不限于①备货、供货及保证措施方案等；②工作流程、工作内容；③进度计划；④组织管理方案；⑤包装运输；⑥货物装卸；提供详细、合理、科学可行的方案，方案符合本项目采购需求有针对性，以上 6 项，以序号①、②、③、④、⑤、⑥为项数，内容无缺项、无漏项且无缺陷的得 12分，其中每有一项内容存在缺陷、内容不全面、不可行、漏项的扣0.5分，该项分值扣完为止，“缺陷”是指套用其他项目方案内容；存在不适用项目实际情况的情形； 未提供不得分。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整体服务方案.docx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质量保证方案</w:t>
            </w:r>
          </w:p>
        </w:tc>
        <w:tc>
          <w:tcPr>
            <w:tcW w:type="dxa" w:w="2492"/>
          </w:tcPr>
          <w:p>
            <w:pPr>
              <w:pStyle w:val="null3"/>
            </w:pPr>
            <w:r>
              <w:rPr>
                <w:rFonts w:ascii="仿宋_GB2312" w:hAnsi="仿宋_GB2312" w:cs="仿宋_GB2312" w:eastAsia="仿宋_GB2312"/>
              </w:rPr>
              <w:t>供应商提供质量保证方案。包括但不限于①质量控制目标②质量保证措施等。 供应商提供详细、合理、科学可行的方案，方案符合本项目采购需求有针对性，以上2项，以序号①、②为项数，内容无缺项、无漏项且无缺陷的得4 分，其中每有一项内容存在缺陷、内容不全面、不可行、漏项的扣 0.5分，扣完为止，“缺陷”是指套用其他项目方案内容；存在不适用项目实际情况的情形； 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整体服务方案.docx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供应商拟投入售后服务人员配置情况、货品破损补救等方面的解决措施或方案；售后服务响应时间及响应流程和措施等。 ①内容完整全面、详细具体的，计6分； ②内容完整，但条理不清晰，措施不具体，计4分； ③内容一项欠缺或内容不具体措施粗略的，计2分； 未提供的不计分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整体服务方案.docx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产品资料</w:t>
            </w:r>
          </w:p>
        </w:tc>
        <w:tc>
          <w:tcPr>
            <w:tcW w:type="dxa" w:w="2492"/>
          </w:tcPr>
          <w:p>
            <w:pPr>
              <w:pStyle w:val="null3"/>
            </w:pPr>
            <w:r>
              <w:rPr>
                <w:rFonts w:ascii="仿宋_GB2312" w:hAnsi="仿宋_GB2312" w:cs="仿宋_GB2312" w:eastAsia="仿宋_GB2312"/>
              </w:rPr>
              <w:t>根据供应商所投产品相关资料：投标产品附有详细的产品技术资料（不限于产品来源渠道、产品说明书、用户手册、质量证明文件等）。提供资料详细具体、科学合理的、满足项目需求的，得 4分；提供资料内容明确，具有一定合理性得 2分； 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整体服务方案.docx</w:t>
            </w:r>
          </w:p>
        </w:tc>
      </w:tr>
      <w:tr>
        <w:tc>
          <w:tcPr>
            <w:tcW w:type="dxa" w:w="831"/>
            <w:vMerge/>
          </w:tcPr>
          <w:p/>
        </w:tc>
        <w:tc>
          <w:tcPr>
            <w:tcW w:type="dxa" w:w="1661"/>
          </w:tcPr>
          <w:p>
            <w:pPr>
              <w:pStyle w:val="null3"/>
            </w:pPr>
            <w:r>
              <w:rPr>
                <w:rFonts w:ascii="仿宋_GB2312" w:hAnsi="仿宋_GB2312" w:cs="仿宋_GB2312" w:eastAsia="仿宋_GB2312"/>
              </w:rPr>
              <w:t>实施团队</w:t>
            </w:r>
          </w:p>
        </w:tc>
        <w:tc>
          <w:tcPr>
            <w:tcW w:type="dxa" w:w="2492"/>
          </w:tcPr>
          <w:p>
            <w:pPr>
              <w:pStyle w:val="null3"/>
            </w:pPr>
            <w:r>
              <w:rPr>
                <w:rFonts w:ascii="仿宋_GB2312" w:hAnsi="仿宋_GB2312" w:cs="仿宋_GB2312" w:eastAsia="仿宋_GB2312"/>
              </w:rPr>
              <w:t>供应商提供针对本项目有完善的项目实施团队及管理方案，针对本项目人员配备架构齐全、数量充足、专业经验丰富，管理方案合理高效，逻辑结构清晰且具有针对性的，得 4分；本项目拟配备人员架构含糊、数量不足、专业经验不足，管理方案含糊合理性不足，逻辑结构不清晰且针对性不足的，得2分；未提供不得分。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整体服务方案.docx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本项目突发情况的应对措施</w:t>
            </w:r>
          </w:p>
        </w:tc>
        <w:tc>
          <w:tcPr>
            <w:tcW w:type="dxa" w:w="2492"/>
          </w:tcPr>
          <w:p>
            <w:pPr>
              <w:pStyle w:val="null3"/>
            </w:pPr>
            <w:r>
              <w:rPr>
                <w:rFonts w:ascii="仿宋_GB2312" w:hAnsi="仿宋_GB2312" w:cs="仿宋_GB2312" w:eastAsia="仿宋_GB2312"/>
              </w:rPr>
              <w:t>针对本项目突发情况的应对措施，供应商每提出一条措施，内容详细具体、科学、合理、满足项目需求的得0.5分，本项最高得2分，不提供或者提出的应对措施与本项目不符，或者无可行性的不得分。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整体服务方案.docx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本项目的合理化建议</w:t>
            </w:r>
          </w:p>
        </w:tc>
        <w:tc>
          <w:tcPr>
            <w:tcW w:type="dxa" w:w="2492"/>
          </w:tcPr>
          <w:p>
            <w:pPr>
              <w:pStyle w:val="null3"/>
            </w:pPr>
            <w:r>
              <w:rPr>
                <w:rFonts w:ascii="仿宋_GB2312" w:hAnsi="仿宋_GB2312" w:cs="仿宋_GB2312" w:eastAsia="仿宋_GB2312"/>
              </w:rPr>
              <w:t>供应商根据本项目的特点每提出一条有利于本项目的合理化建议内容得0.5分，本项最高得2 分，不提供或者提出的合理化建议与本项目不符、或者无可行性，不得分。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整体服务方案.docx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类似项目业绩</w:t>
            </w:r>
          </w:p>
        </w:tc>
        <w:tc>
          <w:tcPr>
            <w:tcW w:type="dxa" w:w="2492"/>
          </w:tcPr>
          <w:p>
            <w:pPr>
              <w:pStyle w:val="null3"/>
            </w:pPr>
            <w:r>
              <w:rPr>
                <w:rFonts w:ascii="仿宋_GB2312" w:hAnsi="仿宋_GB2312" w:cs="仿宋_GB2312" w:eastAsia="仿宋_GB2312"/>
              </w:rPr>
              <w:t>2022年01月01日（以项目中标通知书或项目合同签订时间为准）以来，供应商承接过类似项目业绩的。提供1项得2分，最高得6分。 （需提供中标通知书或合同复印件并加盖公章）</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整体服务方案.docx</w:t>
            </w:r>
          </w:p>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商务应答表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详见附件：整体服务方案.docx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详见附件：合同（参考）.docx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