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版本号：ZCSP-渭南市-2025-00461、XHLJZC-WN2025-01120250721002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警务移动终端服务采购项目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ZCSP-渭南市-2025-00461、XHLJZC-WN2025-011</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警务移动终端服务采购项目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ZCSP-渭南市-2025-00461、XHLJZC-WN2025-011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警务移动终端服务采购项目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警务移动终端服务，详见磋商文件。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警务移动终端服务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警务终端服务</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标的名称：警务终端服务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2"/>
              <w:gridCol w:w="413"/>
              <w:gridCol w:w="1777"/>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技术要求名称</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移动通讯数</w:t>
                  </w:r>
                  <w:r>
                    <w:rPr>
                      <w:rFonts w:ascii="仿宋_GB2312" w:hAnsi="仿宋_GB2312" w:cs="仿宋_GB2312" w:eastAsia="仿宋_GB2312"/>
                      <w:sz w:val="19"/>
                      <w:color w:val="000000"/>
                    </w:rPr>
                    <w:t>据接入服务</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针对现有及备用的</w:t>
                  </w:r>
                  <w:r>
                    <w:rPr>
                      <w:rFonts w:ascii="仿宋_GB2312" w:hAnsi="仿宋_GB2312" w:cs="仿宋_GB2312" w:eastAsia="仿宋_GB2312"/>
                      <w:sz w:val="19"/>
                      <w:color w:val="000000"/>
                    </w:rPr>
                    <w:t>677部</w:t>
                  </w:r>
                  <w:r>
                    <w:rPr>
                      <w:rFonts w:ascii="仿宋_GB2312" w:hAnsi="仿宋_GB2312" w:cs="仿宋_GB2312" w:eastAsia="仿宋_GB2312"/>
                      <w:sz w:val="19"/>
                      <w:color w:val="000000"/>
                    </w:rPr>
                    <w:t>移动警务</w:t>
                  </w:r>
                  <w:r>
                    <w:rPr>
                      <w:rFonts w:ascii="仿宋_GB2312" w:hAnsi="仿宋_GB2312" w:cs="仿宋_GB2312" w:eastAsia="仿宋_GB2312"/>
                      <w:sz w:val="19"/>
                      <w:color w:val="000000"/>
                    </w:rPr>
                    <w:t>通</w:t>
                  </w:r>
                  <w:r>
                    <w:rPr>
                      <w:rFonts w:ascii="仿宋_GB2312" w:hAnsi="仿宋_GB2312" w:cs="仿宋_GB2312" w:eastAsia="仿宋_GB2312"/>
                      <w:sz w:val="19"/>
                      <w:color w:val="000000"/>
                    </w:rPr>
                    <w:t>终端</w:t>
                  </w:r>
                  <w:r>
                    <w:rPr>
                      <w:rFonts w:ascii="仿宋_GB2312" w:hAnsi="仿宋_GB2312" w:cs="仿宋_GB2312" w:eastAsia="仿宋_GB2312"/>
                      <w:sz w:val="19"/>
                      <w:color w:val="000000"/>
                    </w:rPr>
                    <w:t>提供移动通讯数据服务，</w:t>
                  </w:r>
                </w:p>
                <w:p>
                  <w:pPr>
                    <w:pStyle w:val="null3"/>
                    <w:jc w:val="both"/>
                  </w:pPr>
                  <w:r>
                    <w:rPr>
                      <w:rFonts w:ascii="仿宋_GB2312" w:hAnsi="仿宋_GB2312" w:cs="仿宋_GB2312" w:eastAsia="仿宋_GB2312"/>
                      <w:sz w:val="19"/>
                      <w:color w:val="000000"/>
                    </w:rPr>
                    <w:t>具体要求：</w:t>
                  </w:r>
                </w:p>
                <w:p>
                  <w:pPr>
                    <w:pStyle w:val="null3"/>
                    <w:jc w:val="both"/>
                  </w:pPr>
                  <w:r>
                    <w:rPr>
                      <w:rFonts w:ascii="仿宋_GB2312" w:hAnsi="仿宋_GB2312" w:cs="仿宋_GB2312" w:eastAsia="仿宋_GB2312"/>
                      <w:sz w:val="19"/>
                      <w:color w:val="000000"/>
                    </w:rPr>
                    <w:t>1、</w:t>
                  </w:r>
                  <w:r>
                    <w:rPr>
                      <w:rFonts w:ascii="仿宋_GB2312" w:hAnsi="仿宋_GB2312" w:cs="仿宋_GB2312" w:eastAsia="仿宋_GB2312"/>
                      <w:sz w:val="19"/>
                      <w:color w:val="000000"/>
                    </w:rPr>
                    <w:t>国内语音主叫</w:t>
                  </w:r>
                  <w:r>
                    <w:rPr>
                      <w:rFonts w:ascii="仿宋_GB2312" w:hAnsi="仿宋_GB2312" w:cs="仿宋_GB2312" w:eastAsia="仿宋_GB2312"/>
                      <w:sz w:val="19"/>
                      <w:color w:val="000000"/>
                    </w:rPr>
                    <w:t>≥1000分钟/月/部；</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国内高速数据流量</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0G/月/部，既可用于公安网络，也可用于互联网络;</w:t>
                  </w:r>
                </w:p>
                <w:p>
                  <w:pPr>
                    <w:pStyle w:val="null3"/>
                    <w:jc w:val="both"/>
                  </w:pPr>
                  <w:r>
                    <w:rPr>
                      <w:rFonts w:ascii="仿宋_GB2312" w:hAnsi="仿宋_GB2312" w:cs="仿宋_GB2312" w:eastAsia="仿宋_GB2312"/>
                      <w:sz w:val="19"/>
                      <w:color w:val="000000"/>
                    </w:rPr>
                    <w:t>3、</w:t>
                  </w:r>
                  <w:r>
                    <w:rPr>
                      <w:rFonts w:ascii="仿宋_GB2312" w:hAnsi="仿宋_GB2312" w:cs="仿宋_GB2312" w:eastAsia="仿宋_GB2312"/>
                      <w:sz w:val="19"/>
                      <w:color w:val="000000"/>
                    </w:rPr>
                    <w:t>单位短号通话</w:t>
                  </w:r>
                  <w:r>
                    <w:rPr>
                      <w:rFonts w:ascii="仿宋_GB2312" w:hAnsi="仿宋_GB2312" w:cs="仿宋_GB2312" w:eastAsia="仿宋_GB2312"/>
                      <w:sz w:val="19"/>
                      <w:color w:val="000000"/>
                    </w:rPr>
                    <w:t>≥500分钟/月/部，并提供组建单位V网短号及纸质通讯录;</w:t>
                  </w:r>
                </w:p>
                <w:p>
                  <w:pPr>
                    <w:pStyle w:val="null3"/>
                    <w:jc w:val="both"/>
                  </w:pPr>
                  <w:r>
                    <w:rPr>
                      <w:rFonts w:ascii="仿宋_GB2312" w:hAnsi="仿宋_GB2312" w:cs="仿宋_GB2312" w:eastAsia="仿宋_GB2312"/>
                      <w:sz w:val="19"/>
                      <w:color w:val="000000"/>
                    </w:rPr>
                    <w:t>4、</w:t>
                  </w:r>
                  <w:r>
                    <w:rPr>
                      <w:rFonts w:ascii="仿宋_GB2312" w:hAnsi="仿宋_GB2312" w:cs="仿宋_GB2312" w:eastAsia="仿宋_GB2312"/>
                      <w:sz w:val="19"/>
                      <w:color w:val="000000"/>
                    </w:rPr>
                    <w:t>短信</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00条/月/部</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5、</w:t>
                  </w:r>
                  <w:r>
                    <w:rPr>
                      <w:rFonts w:ascii="仿宋_GB2312" w:hAnsi="仿宋_GB2312" w:cs="仿宋_GB2312" w:eastAsia="仿宋_GB2312"/>
                      <w:sz w:val="19"/>
                      <w:color w:val="000000"/>
                    </w:rPr>
                    <w:t>现有的</w:t>
                  </w:r>
                  <w:r>
                    <w:rPr>
                      <w:rFonts w:ascii="仿宋_GB2312" w:hAnsi="仿宋_GB2312" w:cs="仿宋_GB2312" w:eastAsia="仿宋_GB2312"/>
                      <w:sz w:val="19"/>
                      <w:color w:val="000000"/>
                    </w:rPr>
                    <w:t>移动警务</w:t>
                  </w:r>
                  <w:r>
                    <w:rPr>
                      <w:rFonts w:ascii="仿宋_GB2312" w:hAnsi="仿宋_GB2312" w:cs="仿宋_GB2312" w:eastAsia="仿宋_GB2312"/>
                      <w:sz w:val="19"/>
                      <w:color w:val="000000"/>
                    </w:rPr>
                    <w:t>通</w:t>
                  </w:r>
                  <w:r>
                    <w:rPr>
                      <w:rFonts w:ascii="仿宋_GB2312" w:hAnsi="仿宋_GB2312" w:cs="仿宋_GB2312" w:eastAsia="仿宋_GB2312"/>
                      <w:sz w:val="19"/>
                      <w:color w:val="000000"/>
                    </w:rPr>
                    <w:t>终端</w:t>
                  </w:r>
                  <w:r>
                    <w:rPr>
                      <w:rFonts w:ascii="仿宋_GB2312" w:hAnsi="仿宋_GB2312" w:cs="仿宋_GB2312" w:eastAsia="仿宋_GB2312"/>
                      <w:sz w:val="19"/>
                      <w:color w:val="000000"/>
                    </w:rPr>
                    <w:t>升级</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单</w:t>
                  </w:r>
                  <w:r>
                    <w:rPr>
                      <w:rFonts w:ascii="仿宋_GB2312" w:hAnsi="仿宋_GB2312" w:cs="仿宋_GB2312" w:eastAsia="仿宋_GB2312"/>
                      <w:sz w:val="19"/>
                      <w:color w:val="000000"/>
                    </w:rPr>
                    <w:t>北斗定位</w:t>
                  </w:r>
                  <w:r>
                    <w:rPr>
                      <w:rFonts w:ascii="仿宋_GB2312" w:hAnsi="仿宋_GB2312" w:cs="仿宋_GB2312" w:eastAsia="仿宋_GB2312"/>
                      <w:sz w:val="19"/>
                      <w:color w:val="000000"/>
                    </w:rPr>
                    <w:t>；</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备用</w:t>
                  </w:r>
                  <w:r>
                    <w:rPr>
                      <w:rFonts w:ascii="仿宋_GB2312" w:hAnsi="仿宋_GB2312" w:cs="仿宋_GB2312" w:eastAsia="仿宋_GB2312"/>
                      <w:sz w:val="19"/>
                      <w:color w:val="000000"/>
                    </w:rPr>
                    <w:t>移动警务</w:t>
                  </w:r>
                  <w:r>
                    <w:rPr>
                      <w:rFonts w:ascii="仿宋_GB2312" w:hAnsi="仿宋_GB2312" w:cs="仿宋_GB2312" w:eastAsia="仿宋_GB2312"/>
                      <w:sz w:val="19"/>
                      <w:color w:val="000000"/>
                    </w:rPr>
                    <w:t>通</w:t>
                  </w:r>
                  <w:r>
                    <w:rPr>
                      <w:rFonts w:ascii="仿宋_GB2312" w:hAnsi="仿宋_GB2312" w:cs="仿宋_GB2312" w:eastAsia="仿宋_GB2312"/>
                      <w:sz w:val="19"/>
                      <w:color w:val="000000"/>
                    </w:rPr>
                    <w:t>终端</w:t>
                  </w:r>
                  <w:r>
                    <w:rPr>
                      <w:rFonts w:ascii="仿宋_GB2312" w:hAnsi="仿宋_GB2312" w:cs="仿宋_GB2312" w:eastAsia="仿宋_GB2312"/>
                      <w:sz w:val="19"/>
                      <w:color w:val="000000"/>
                    </w:rPr>
                    <w:t>服务</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1、提供150部移动警务通终端做备用（主要用于现有终端损坏进行更换、紧急突发状况等）；</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备用</w:t>
                  </w:r>
                  <w:r>
                    <w:rPr>
                      <w:rFonts w:ascii="仿宋_GB2312" w:hAnsi="仿宋_GB2312" w:cs="仿宋_GB2312" w:eastAsia="仿宋_GB2312"/>
                      <w:sz w:val="19"/>
                      <w:color w:val="000000"/>
                    </w:rPr>
                    <w:t>移动警务</w:t>
                  </w:r>
                  <w:r>
                    <w:rPr>
                      <w:rFonts w:ascii="仿宋_GB2312" w:hAnsi="仿宋_GB2312" w:cs="仿宋_GB2312" w:eastAsia="仿宋_GB2312"/>
                      <w:sz w:val="19"/>
                      <w:color w:val="000000"/>
                    </w:rPr>
                    <w:t>通</w:t>
                  </w:r>
                  <w:r>
                    <w:rPr>
                      <w:rFonts w:ascii="仿宋_GB2312" w:hAnsi="仿宋_GB2312" w:cs="仿宋_GB2312" w:eastAsia="仿宋_GB2312"/>
                      <w:sz w:val="19"/>
                      <w:color w:val="000000"/>
                    </w:rPr>
                    <w:t>终端</w:t>
                  </w:r>
                  <w:r>
                    <w:rPr>
                      <w:rFonts w:ascii="仿宋_GB2312" w:hAnsi="仿宋_GB2312" w:cs="仿宋_GB2312" w:eastAsia="仿宋_GB2312"/>
                      <w:sz w:val="19"/>
                      <w:color w:val="000000"/>
                    </w:rPr>
                    <w:t>服务要求：</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1）支持5G网络；</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2）双系统隔离；安全加固；</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3）处理器要求：CPU核数≥八核；</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4）网络要求：双卡双待，全网通；</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5）存储要求：运行内存（RAM）≥12GB；机身内存（ROM）≥256GB；</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6）显示屏要求：尺寸：≥6.1英寸；类别：OLED；色彩：≥10亿色；</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7）电池容量≥4900mAh（额定值）；</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8）单北斗定位。支持高精度定位，室外定位精度优于2米，满足行业精细化指挥调度需求、支持融合定位。</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9）新一代警务安全终端认证，满足公安部标GA/T1466有关要求</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备用</w:t>
                  </w:r>
                  <w:r>
                    <w:rPr>
                      <w:rFonts w:ascii="仿宋_GB2312" w:hAnsi="仿宋_GB2312" w:cs="仿宋_GB2312" w:eastAsia="仿宋_GB2312"/>
                      <w:sz w:val="19"/>
                      <w:color w:val="000000"/>
                    </w:rPr>
                    <w:t>移动警务</w:t>
                  </w:r>
                  <w:r>
                    <w:rPr>
                      <w:rFonts w:ascii="仿宋_GB2312" w:hAnsi="仿宋_GB2312" w:cs="仿宋_GB2312" w:eastAsia="仿宋_GB2312"/>
                      <w:sz w:val="19"/>
                      <w:color w:val="000000"/>
                    </w:rPr>
                    <w:t>通</w:t>
                  </w:r>
                  <w:r>
                    <w:rPr>
                      <w:rFonts w:ascii="仿宋_GB2312" w:hAnsi="仿宋_GB2312" w:cs="仿宋_GB2312" w:eastAsia="仿宋_GB2312"/>
                      <w:sz w:val="19"/>
                      <w:color w:val="000000"/>
                    </w:rPr>
                    <w:t>终端</w:t>
                  </w:r>
                  <w:r>
                    <w:rPr>
                      <w:rFonts w:ascii="仿宋_GB2312" w:hAnsi="仿宋_GB2312" w:cs="仿宋_GB2312" w:eastAsia="仿宋_GB2312"/>
                      <w:sz w:val="19"/>
                      <w:color w:val="000000"/>
                    </w:rPr>
                    <w:t>加密卡</w:t>
                  </w:r>
                  <w:r>
                    <w:rPr>
                      <w:rFonts w:ascii="仿宋_GB2312" w:hAnsi="仿宋_GB2312" w:cs="仿宋_GB2312" w:eastAsia="仿宋_GB2312"/>
                      <w:sz w:val="19"/>
                      <w:color w:val="000000"/>
                    </w:rPr>
                    <w:t>服务</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w:t>
                  </w:r>
                  <w:r>
                    <w:rPr>
                      <w:rFonts w:ascii="仿宋_GB2312" w:hAnsi="仿宋_GB2312" w:cs="仿宋_GB2312" w:eastAsia="仿宋_GB2312"/>
                      <w:sz w:val="19"/>
                      <w:color w:val="000000"/>
                    </w:rPr>
                    <w:t>基本要求：</w:t>
                  </w:r>
                </w:p>
                <w:p>
                  <w:pPr>
                    <w:pStyle w:val="null3"/>
                    <w:jc w:val="both"/>
                  </w:pPr>
                  <w:r>
                    <w:rPr>
                      <w:rFonts w:ascii="仿宋_GB2312" w:hAnsi="仿宋_GB2312" w:cs="仿宋_GB2312" w:eastAsia="仿宋_GB2312"/>
                      <w:sz w:val="19"/>
                      <w:color w:val="000000"/>
                    </w:rPr>
                    <w:t>放置在</w:t>
                  </w:r>
                  <w:r>
                    <w:rPr>
                      <w:rFonts w:ascii="仿宋_GB2312" w:hAnsi="仿宋_GB2312" w:cs="仿宋_GB2312" w:eastAsia="仿宋_GB2312"/>
                      <w:sz w:val="19"/>
                      <w:color w:val="000000"/>
                    </w:rPr>
                    <w:t>SIM卡上插入移动警务终端卡槽中，可为移动警务终端提供身份认证和信息加密服务，支持Nano SIM卡类型。</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性能要求：</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RSA1024密钥对生成≤3秒/对；RSA1024签名/解密≥3次/秒；RSA1024验证/加密≥10次/秒</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RSA2048密钥对生成≤19秒/对；RSA2048签名/解密≥2次/秒；RSA2048验证/加密≥5次/秒</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SM2密钥对生成≤0.3秒/对；SM2签名/解密≥2次/秒；SM2验证/加密≥2次/秒</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SM3摘要≥15Kbps</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SM1加解密≥5Kbps</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SM4加解密≥50Mbps。</w:t>
                  </w:r>
                </w:p>
                <w:p>
                  <w:pPr>
                    <w:pStyle w:val="null3"/>
                    <w:jc w:val="both"/>
                  </w:pPr>
                  <w:r>
                    <w:rPr>
                      <w:rFonts w:ascii="仿宋_GB2312" w:hAnsi="仿宋_GB2312" w:cs="仿宋_GB2312" w:eastAsia="仿宋_GB2312"/>
                      <w:sz w:val="19"/>
                      <w:color w:val="000000"/>
                    </w:rPr>
                    <w:t>3、</w:t>
                  </w:r>
                  <w:r>
                    <w:rPr>
                      <w:rFonts w:ascii="仿宋_GB2312" w:hAnsi="仿宋_GB2312" w:cs="仿宋_GB2312" w:eastAsia="仿宋_GB2312"/>
                      <w:sz w:val="19"/>
                      <w:color w:val="000000"/>
                    </w:rPr>
                    <w:t>物理特性及环境要求：</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存储器保存：</w:t>
                  </w:r>
                  <w:r>
                    <w:rPr>
                      <w:rFonts w:ascii="仿宋_GB2312" w:hAnsi="仿宋_GB2312" w:cs="仿宋_GB2312" w:eastAsia="仿宋_GB2312"/>
                      <w:sz w:val="19"/>
                      <w:color w:val="000000"/>
                    </w:rPr>
                    <w:t>≥10年；</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存储器擦写次数：</w:t>
                  </w:r>
                  <w:r>
                    <w:rPr>
                      <w:rFonts w:ascii="仿宋_GB2312" w:hAnsi="仿宋_GB2312" w:cs="仿宋_GB2312" w:eastAsia="仿宋_GB2312"/>
                      <w:sz w:val="19"/>
                      <w:color w:val="000000"/>
                    </w:rPr>
                    <w:t>≥10万次；</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运行环境温度：</w:t>
                  </w:r>
                  <w:r>
                    <w:rPr>
                      <w:rFonts w:ascii="仿宋_GB2312" w:hAnsi="仿宋_GB2312" w:cs="仿宋_GB2312" w:eastAsia="仿宋_GB2312"/>
                      <w:sz w:val="19"/>
                      <w:color w:val="000000"/>
                    </w:rPr>
                    <w:t>-25℃到+85℃；</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存储环境温度：</w:t>
                  </w:r>
                  <w:r>
                    <w:rPr>
                      <w:rFonts w:ascii="仿宋_GB2312" w:hAnsi="仿宋_GB2312" w:cs="仿宋_GB2312" w:eastAsia="仿宋_GB2312"/>
                      <w:sz w:val="19"/>
                      <w:color w:val="000000"/>
                    </w:rPr>
                    <w:t>-40℃到+125℃</w:t>
                  </w:r>
                  <w:r>
                    <w:rPr>
                      <w:rFonts w:ascii="仿宋_GB2312" w:hAnsi="仿宋_GB2312" w:cs="仿宋_GB2312" w:eastAsia="仿宋_GB2312"/>
                      <w:sz w:val="19"/>
                      <w:color w:val="000000"/>
                    </w:rPr>
                    <w:t>。</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备注</w:t>
                  </w:r>
                  <w:r>
                    <w:rPr>
                      <w:rFonts w:ascii="仿宋_GB2312" w:hAnsi="仿宋_GB2312" w:cs="仿宋_GB2312" w:eastAsia="仿宋_GB2312"/>
                      <w:sz w:val="19"/>
                      <w:b/>
                    </w:rPr>
                    <w:t>:</w:t>
                  </w:r>
                </w:p>
                <w:p>
                  <w:pPr>
                    <w:pStyle w:val="null3"/>
                    <w:ind w:firstLine="381"/>
                    <w:jc w:val="both"/>
                  </w:pPr>
                  <w:r>
                    <w:rPr>
                      <w:rFonts w:ascii="仿宋_GB2312" w:hAnsi="仿宋_GB2312" w:cs="仿宋_GB2312" w:eastAsia="仿宋_GB2312"/>
                      <w:sz w:val="19"/>
                      <w:b/>
                      <w:color w:val="000000"/>
                    </w:rPr>
                    <w:t>（</w:t>
                  </w:r>
                  <w:r>
                    <w:rPr>
                      <w:rFonts w:ascii="仿宋_GB2312" w:hAnsi="仿宋_GB2312" w:cs="仿宋_GB2312" w:eastAsia="仿宋_GB2312"/>
                      <w:sz w:val="19"/>
                      <w:b/>
                      <w:color w:val="000000"/>
                    </w:rPr>
                    <w:t>1</w:t>
                  </w:r>
                  <w:r>
                    <w:rPr>
                      <w:rFonts w:ascii="仿宋_GB2312" w:hAnsi="仿宋_GB2312" w:cs="仿宋_GB2312" w:eastAsia="仿宋_GB2312"/>
                      <w:sz w:val="19"/>
                      <w:b/>
                      <w:color w:val="000000"/>
                    </w:rPr>
                    <w:t>）移动警务通终端须符合</w:t>
                  </w:r>
                  <w:r>
                    <w:rPr>
                      <w:rFonts w:ascii="仿宋_GB2312" w:hAnsi="仿宋_GB2312" w:cs="仿宋_GB2312" w:eastAsia="仿宋_GB2312"/>
                      <w:sz w:val="19"/>
                      <w:b/>
                      <w:color w:val="000000"/>
                    </w:rPr>
                    <w:t>最新</w:t>
                  </w:r>
                  <w:r>
                    <w:rPr>
                      <w:rFonts w:ascii="仿宋_GB2312" w:hAnsi="仿宋_GB2312" w:cs="仿宋_GB2312" w:eastAsia="仿宋_GB2312"/>
                      <w:sz w:val="19"/>
                      <w:b/>
                      <w:color w:val="000000"/>
                    </w:rPr>
                    <w:t>《陕西省公安厅移动警务终端名录》中的入围机型，版本系统</w:t>
                  </w:r>
                  <w:r>
                    <w:rPr>
                      <w:rFonts w:ascii="仿宋_GB2312" w:hAnsi="仿宋_GB2312" w:cs="仿宋_GB2312" w:eastAsia="仿宋_GB2312"/>
                      <w:sz w:val="19"/>
                      <w:b/>
                      <w:color w:val="000000"/>
                    </w:rPr>
                    <w:t>:陕西公安定制版本。</w:t>
                  </w:r>
                </w:p>
                <w:p>
                  <w:pPr>
                    <w:pStyle w:val="null3"/>
                    <w:ind w:firstLine="381"/>
                    <w:jc w:val="both"/>
                  </w:pPr>
                  <w:r>
                    <w:rPr>
                      <w:rFonts w:ascii="仿宋_GB2312" w:hAnsi="仿宋_GB2312" w:cs="仿宋_GB2312" w:eastAsia="仿宋_GB2312"/>
                      <w:sz w:val="19"/>
                      <w:b/>
                      <w:color w:val="000000"/>
                    </w:rPr>
                    <w:t>（</w:t>
                  </w:r>
                  <w:r>
                    <w:rPr>
                      <w:rFonts w:ascii="仿宋_GB2312" w:hAnsi="仿宋_GB2312" w:cs="仿宋_GB2312" w:eastAsia="仿宋_GB2312"/>
                      <w:sz w:val="19"/>
                      <w:b/>
                      <w:color w:val="000000"/>
                    </w:rPr>
                    <w:t>2</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移动通讯数据接入须符合省厅要求接入的通信运营商网络链路</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每月满足正常办公需求</w:t>
                  </w:r>
                  <w:r>
                    <w:rPr>
                      <w:rFonts w:ascii="仿宋_GB2312" w:hAnsi="仿宋_GB2312" w:cs="仿宋_GB2312" w:eastAsia="仿宋_GB2312"/>
                      <w:sz w:val="19"/>
                      <w:b/>
                      <w:color w:val="000000"/>
                    </w:rPr>
                    <w:t>）</w:t>
                  </w:r>
                </w:p>
                <w:p>
                  <w:pPr>
                    <w:pStyle w:val="null3"/>
                    <w:ind w:firstLine="381"/>
                    <w:jc w:val="both"/>
                  </w:pPr>
                  <w:r>
                    <w:rPr>
                      <w:rFonts w:ascii="仿宋_GB2312" w:hAnsi="仿宋_GB2312" w:cs="仿宋_GB2312" w:eastAsia="仿宋_GB2312"/>
                      <w:sz w:val="19"/>
                      <w:b/>
                      <w:color w:val="000000"/>
                    </w:rPr>
                    <w:t>（</w:t>
                  </w:r>
                  <w:r>
                    <w:rPr>
                      <w:rFonts w:ascii="仿宋_GB2312" w:hAnsi="仿宋_GB2312" w:cs="仿宋_GB2312" w:eastAsia="仿宋_GB2312"/>
                      <w:sz w:val="19"/>
                      <w:b/>
                      <w:color w:val="000000"/>
                    </w:rPr>
                    <w:t>3</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供应商必须保证公安移动办公与公安专网数据正常即时交互，并保证数据交互的安全性</w:t>
                  </w:r>
                  <w:r>
                    <w:rPr>
                      <w:rFonts w:ascii="仿宋_GB2312" w:hAnsi="仿宋_GB2312" w:cs="仿宋_GB2312" w:eastAsia="仿宋_GB2312"/>
                      <w:sz w:val="19"/>
                      <w:b/>
                      <w:color w:val="000000"/>
                    </w:rPr>
                    <w:t>。</w:t>
                  </w:r>
                </w:p>
                <w:p>
                  <w:pPr>
                    <w:pStyle w:val="null3"/>
                    <w:jc w:val="both"/>
                  </w:pPr>
                  <w:r>
                    <w:rPr>
                      <w:rFonts w:ascii="仿宋_GB2312" w:hAnsi="仿宋_GB2312" w:cs="仿宋_GB2312" w:eastAsia="仿宋_GB2312"/>
                      <w:sz w:val="19"/>
                      <w:b/>
                      <w:color w:val="000000"/>
                    </w:rPr>
                    <w:t>（</w:t>
                  </w:r>
                  <w:r>
                    <w:rPr>
                      <w:rFonts w:ascii="仿宋_GB2312" w:hAnsi="仿宋_GB2312" w:cs="仿宋_GB2312" w:eastAsia="仿宋_GB2312"/>
                      <w:sz w:val="19"/>
                      <w:b/>
                      <w:color w:val="000000"/>
                    </w:rPr>
                    <w:t>4</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加密卡必须符合省公安厅警务通平台接入要求。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自合同签订之日起不少于36个月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渭南市公安局临渭分局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按季度每季末付款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备用移动警务通终端质保期：验收合格之日起硬件提供一年质保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提供针对本项目的服务方案，本项满分20分。 服务方案针对性强，对用户及项目了解全面、内容完整、可行性强，计15.1～20分； 服务方案针对性较强，能够考虑到货物特点及用户实际需求，计10.1～15分； 服务方案针对性一般，考虑到货物特点及用户实际需求较少，计5.1～10分； 服务方案针对性欠缺，未考虑到货物特点及用户实际需求，计1～5分。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提供拟派本项目工作人员组成情况（有具体成员名单，包括姓名、工作经验、工作职责、联系方式等），本项满分10分。 服务队伍配备合理，有针对本项目的专项服务小组，项目负责人、工作人员分工明确，计6.1～10分； 服务队伍配备比较合理，项目负责人、工作人员分工比较明确，计3.1～6分； 服务队伍配备不合理，项目负责人、工作人员分工不明确，计1～3分。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所投产品相关资料：投标产品附有详细的产品技术资料（包括但不限于产品说明书、产品质量检测报告等），本项满分8分。 技术资料详细完整，计6.1～8分； 技术资料较详细，计3.1～6分； 技术资料不详细，计1～3分。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所投产品合法来源渠道证明资料</w:t>
            </w:r>
          </w:p>
        </w:tc>
        <w:tc>
          <w:tcPr>
            <w:tcW w:type="dxa" w:w="2492"/>
          </w:tcPr>
          <w:p>
            <w:pPr>
              <w:pStyle w:val="null3"/>
            </w:pPr>
            <w:r>
              <w:rPr>
                <w:rFonts w:ascii="仿宋_GB2312" w:hAnsi="仿宋_GB2312" w:cs="仿宋_GB2312" w:eastAsia="仿宋_GB2312"/>
              </w:rPr>
              <w:t>提供所投产品合法来源渠道证明资料（包括但不限于销售协议、代理协议、原厂授权等），本项满分9分，未提供不得分。 证明资料详细完整，计6.1～9分； 证明资料较详细完整，计3.1～6分； 证明资料不详细，计1～3分。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提供确保本项目质量的技术组织措施，本项满分8分。 技术组织措施方案有效可行、具备完善的内部管理架构、工作流程、信息反馈渠道，计6.1～8分； 技术组织措施方案较合理、内部管理架构较完善，措施一般，计3.1～6分； 技术组织方案不合理、内部管理架构不完善，计1～3分。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重难点的分析及应对措施</w:t>
            </w:r>
          </w:p>
        </w:tc>
        <w:tc>
          <w:tcPr>
            <w:tcW w:type="dxa" w:w="2492"/>
          </w:tcPr>
          <w:p>
            <w:pPr>
              <w:pStyle w:val="null3"/>
            </w:pPr>
            <w:r>
              <w:rPr>
                <w:rFonts w:ascii="仿宋_GB2312" w:hAnsi="仿宋_GB2312" w:cs="仿宋_GB2312" w:eastAsia="仿宋_GB2312"/>
              </w:rPr>
              <w:t>提供针对本项目重难点的分析及应对措施，本项满分12分。 重难点分析全面、应对措施详细可行，计8.1～12分； 重难点分析一般、应对措施一般，计4.1～8分； 重难点分析欠缺、应对措施欠缺，计1～4分。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完全承诺竞争性磋商文件的要求，并针对本项目实际需求提供实质性承诺，包括对服务期限、质量、人员到位情况、后期服务等方面，本项满分6分。 承诺内容完善、合理、可行性强，计3.1～6分； 承诺内容一般，可行性较欠缺，计1～3分。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