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版本号：ZCSP-渭南市-2025-0048520250623001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脱贫地区儿童营养改善项目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ZCSP-渭南市-2025-00485</w:t>
      </w:r>
      <w:r>
        <w:br/>
      </w:r>
      <w:r>
        <w:br/>
      </w:r>
      <w:r>
        <w:br/>
      </w:r>
    </w:p>
    <w:p>
      <w:pPr>
        <w:pStyle w:val="null3"/>
        <w:jc w:val="center"/>
        <w:outlineLvl w:val="2"/>
      </w:pPr>
      <w:r>
        <w:rPr>
          <w:rFonts w:ascii="仿宋_GB2312" w:hAnsi="仿宋_GB2312" w:cs="仿宋_GB2312" w:eastAsia="仿宋_GB2312"/>
          <w:sz w:val="28"/>
          <w:b/>
        </w:rPr>
        <w:t>渭南市卫生健康委员会</w:t>
      </w:r>
    </w:p>
    <w:p>
      <w:pPr>
        <w:pStyle w:val="null3"/>
        <w:jc w:val="center"/>
        <w:outlineLvl w:val="2"/>
      </w:pPr>
      <w:r>
        <w:rPr>
          <w:rFonts w:ascii="仿宋_GB2312" w:hAnsi="仿宋_GB2312" w:cs="仿宋_GB2312" w:eastAsia="仿宋_GB2312"/>
          <w:sz w:val="28"/>
          <w:b/>
        </w:rPr>
        <w:t>渭南市政府采购中心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渭南市政府采购中心</w:t>
      </w:r>
      <w:r>
        <w:rPr>
          <w:rFonts w:ascii="仿宋_GB2312" w:hAnsi="仿宋_GB2312" w:cs="仿宋_GB2312" w:eastAsia="仿宋_GB2312"/>
        </w:rPr>
        <w:t>（以下简称“代理机构”）受</w:t>
      </w:r>
      <w:r>
        <w:rPr>
          <w:rFonts w:ascii="仿宋_GB2312" w:hAnsi="仿宋_GB2312" w:cs="仿宋_GB2312" w:eastAsia="仿宋_GB2312"/>
        </w:rPr>
        <w:t>渭南市卫生健康委员会</w:t>
      </w:r>
      <w:r>
        <w:rPr>
          <w:rFonts w:ascii="仿宋_GB2312" w:hAnsi="仿宋_GB2312" w:cs="仿宋_GB2312" w:eastAsia="仿宋_GB2312"/>
        </w:rPr>
        <w:t>委托，拟对</w:t>
      </w:r>
      <w:r>
        <w:rPr>
          <w:rFonts w:ascii="仿宋_GB2312" w:hAnsi="仿宋_GB2312" w:cs="仿宋_GB2312" w:eastAsia="仿宋_GB2312"/>
        </w:rPr>
        <w:t>脱贫地区儿童营养改善项目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ZCSP-渭南市-2025-00485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脱贫地区儿童营养改善项目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为脱贫地区 6-24月龄婴幼儿补充辅食营养补充品，普及婴幼儿科学喂养知识与技能，降低项目地区婴幼儿贫血率和生长迟缓率，改善儿童营养和健康状况。</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采购包1（脱贫地区儿童营养改善）：属于专门面向中小企业采购。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须提供合法注册的法人或其他组织的营业执照等证明文件（事业单位法人证书\民办非企业单位登记证书\非企业专业服务机构执业许可证等），自然人须提供的身份证明文件；供应商需在项目电子化交易系统中按要求上传，并进行电子签章。</w:t>
      </w:r>
    </w:p>
    <w:p>
      <w:pPr>
        <w:pStyle w:val="null3"/>
      </w:pPr>
      <w:r>
        <w:rPr>
          <w:rFonts w:ascii="仿宋_GB2312" w:hAnsi="仿宋_GB2312" w:cs="仿宋_GB2312" w:eastAsia="仿宋_GB2312"/>
        </w:rPr>
        <w:t>2、供应商应授权合法的人员参加投标全过程：法定代表人参加的，须出具法定代表人身份证明，并与营业执照上信息一致；法定代表人授权代表参加的，须出具法定代表人授权书及授权代表身份证。供应商需在项目电子化交易系统中按要求上传相关证明文件，并进行电子签章。</w:t>
      </w:r>
    </w:p>
    <w:p>
      <w:pPr>
        <w:pStyle w:val="null3"/>
      </w:pPr>
      <w:r>
        <w:rPr>
          <w:rFonts w:ascii="仿宋_GB2312" w:hAnsi="仿宋_GB2312" w:cs="仿宋_GB2312" w:eastAsia="仿宋_GB2312"/>
        </w:rPr>
        <w:t>3、缴纳税收证明：提供开标前一年内任意一个月的依法缴纳税收的相关凭据（时间以税款所属日期为准，增值税、企业所得税至少提供一种），凭据应有税务机关或代收机关的公章或业务专用章；依法免税或无须缴纳税收的投标人，应提供相应证明文件；供应商需在项目电子化交易系统中按要求上传，并进行电子签章。</w:t>
      </w:r>
    </w:p>
    <w:p>
      <w:pPr>
        <w:pStyle w:val="null3"/>
      </w:pPr>
      <w:r>
        <w:rPr>
          <w:rFonts w:ascii="仿宋_GB2312" w:hAnsi="仿宋_GB2312" w:cs="仿宋_GB2312" w:eastAsia="仿宋_GB2312"/>
        </w:rPr>
        <w:t>4、缴纳社会保障资金证明：提供开标前一年内任意一个月的已缴纳的社会保障资金缴存单据或社保机构开具的社会保险参保缴费情况证明；依法不需要缴纳社会保障资金的供应商应提供相关证明文件；供应商需在项目电子化交易系统中按要求上传相应证明文件，并进行电子签章。</w:t>
      </w:r>
    </w:p>
    <w:p>
      <w:pPr>
        <w:pStyle w:val="null3"/>
      </w:pPr>
      <w:r>
        <w:rPr>
          <w:rFonts w:ascii="仿宋_GB2312" w:hAnsi="仿宋_GB2312" w:cs="仿宋_GB2312" w:eastAsia="仿宋_GB2312"/>
        </w:rPr>
        <w:t>5、财务审计报告或资信证明：提供具有财务审计资质单位出具的2024年度完整财务报告或开标前六个月内其基本账户银行出具的资信证明；供应商需在项目电子化交易系统中按要求上传，并进行电子签章。</w:t>
      </w:r>
    </w:p>
    <w:p>
      <w:pPr>
        <w:pStyle w:val="null3"/>
      </w:pPr>
      <w:r>
        <w:rPr>
          <w:rFonts w:ascii="仿宋_GB2312" w:hAnsi="仿宋_GB2312" w:cs="仿宋_GB2312" w:eastAsia="仿宋_GB2312"/>
        </w:rPr>
        <w:t>6、供应商及所投产品的资质 ：生产厂家投标须出具市场监管部门颁发的营养包相关食品生产许可证，副本(或副页）中载明辅食营养补充品（或辅食营养素补充食品）生产明细，且在有效期内；代理商投标需提供食品经营许可证及上述生产厂家许可证明；</w:t>
      </w:r>
    </w:p>
    <w:p>
      <w:pPr>
        <w:pStyle w:val="null3"/>
      </w:pPr>
      <w:r>
        <w:rPr>
          <w:rFonts w:ascii="仿宋_GB2312" w:hAnsi="仿宋_GB2312" w:cs="仿宋_GB2312" w:eastAsia="仿宋_GB2312"/>
        </w:rPr>
        <w:t>7、信用记录 ：供应商需在项目电子化交易系统中按要求上传《供应商信用记录书面声明函》，并进行电子签章。</w:t>
      </w:r>
    </w:p>
    <w:p>
      <w:pPr>
        <w:pStyle w:val="null3"/>
      </w:pPr>
      <w:r>
        <w:rPr>
          <w:rFonts w:ascii="仿宋_GB2312" w:hAnsi="仿宋_GB2312" w:cs="仿宋_GB2312" w:eastAsia="仿宋_GB2312"/>
        </w:rPr>
        <w:t>8、无重大违法记录书面声明：供应商需在项目电子化交易系统中按要求上传《供应商无重大违法记录书面声明函》，并进行电子签章。</w:t>
      </w:r>
    </w:p>
    <w:p>
      <w:pPr>
        <w:pStyle w:val="null3"/>
      </w:pPr>
      <w:r>
        <w:rPr>
          <w:rFonts w:ascii="仿宋_GB2312" w:hAnsi="仿宋_GB2312" w:cs="仿宋_GB2312" w:eastAsia="仿宋_GB2312"/>
        </w:rPr>
        <w:t>9、非联合体投标声明 ：本项目不接受联合体投标，供应商需在项目电子化交易系统中按要求上传《非联合体投标声明》，并进行电子签章。</w:t>
      </w:r>
    </w:p>
    <w:p>
      <w:pPr>
        <w:pStyle w:val="null3"/>
      </w:pPr>
      <w:r>
        <w:rPr>
          <w:rFonts w:ascii="仿宋_GB2312" w:hAnsi="仿宋_GB2312" w:cs="仿宋_GB2312" w:eastAsia="仿宋_GB2312"/>
        </w:rPr>
        <w:t>10、无一级召回或二级召回书面声明：供应商在开标前一年内，在同类营养包项目供货过程中因存在食品安全问题导致产品一级召回或二级召回的不得参与本次投标。供应商需提供开标前一年内在同类营养包项目供货过程中没有因食品安全问题导致产品一级召回或二级召回的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渭南市卫生健康委员会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市民综合服务中心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渭南市卫生健康委员会经办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18609130165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渭南市政府采购中心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陕西省渭南市临渭区朝阳大街中段中银大厦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 吝老师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0913-2100082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采购包1：3,666,000.00元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渭南市卫生健康委员会</w:t>
      </w:r>
      <w:r>
        <w:rPr>
          <w:rFonts w:ascii="仿宋_GB2312" w:hAnsi="仿宋_GB2312" w:cs="仿宋_GB2312" w:eastAsia="仿宋_GB2312"/>
        </w:rPr>
        <w:t>和</w:t>
      </w:r>
      <w:r>
        <w:rPr>
          <w:rFonts w:ascii="仿宋_GB2312" w:hAnsi="仿宋_GB2312" w:cs="仿宋_GB2312" w:eastAsia="仿宋_GB2312"/>
        </w:rPr>
        <w:t>渭南市政府采购中心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渭南市卫生健康委员会</w:t>
      </w:r>
      <w:r>
        <w:rPr>
          <w:rFonts w:ascii="仿宋_GB2312" w:hAnsi="仿宋_GB2312" w:cs="仿宋_GB2312" w:eastAsia="仿宋_GB2312"/>
        </w:rPr>
        <w:t>负责解释。除上述招标文件内容，其他内容由</w:t>
      </w:r>
      <w:r>
        <w:rPr>
          <w:rFonts w:ascii="仿宋_GB2312" w:hAnsi="仿宋_GB2312" w:cs="仿宋_GB2312" w:eastAsia="仿宋_GB2312"/>
        </w:rPr>
        <w:t>渭南市政府采购中心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渭南市卫生健康委员会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渭南市政府采购中心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验收方式：自行验收 验收标准：1、所供产品的规格、数量符合招标文件供应商投标承诺及采购合同约定的要求。 2、所有产品均已运输至指定地点，依据招标文件要求验收。 3、招标文件供应商投标承诺及采购合同约定的附件、工具、技术资料等齐全；提供产品使用说明书、合格证。</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渭南市卫生健康委员会</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渭南市政府采购中心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渭南市政府采购中心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联系人：王静</w:t>
      </w:r>
    </w:p>
    <w:p>
      <w:pPr>
        <w:pStyle w:val="null3"/>
      </w:pPr>
      <w:r>
        <w:rPr>
          <w:rFonts w:ascii="仿宋_GB2312" w:hAnsi="仿宋_GB2312" w:cs="仿宋_GB2312" w:eastAsia="仿宋_GB2312"/>
        </w:rPr>
        <w:t>联系电话：18609130165</w:t>
      </w:r>
    </w:p>
    <w:p>
      <w:pPr>
        <w:pStyle w:val="null3"/>
      </w:pPr>
      <w:r>
        <w:rPr>
          <w:rFonts w:ascii="仿宋_GB2312" w:hAnsi="仿宋_GB2312" w:cs="仿宋_GB2312" w:eastAsia="仿宋_GB2312"/>
        </w:rPr>
        <w:t>地址：渭南市市民综合服务中心</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为脱贫地区 6-24月龄婴幼儿补充辅食营养补充品，普及婴幼儿科学喂养知识与技能，降低项目地区婴幼儿贫血率和生长迟缓率，改善儿童营养和健康状况。</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3,666,000.00</w:t>
      </w:r>
    </w:p>
    <w:p>
      <w:pPr>
        <w:pStyle w:val="null3"/>
      </w:pPr>
      <w:r>
        <w:rPr>
          <w:rFonts w:ascii="仿宋_GB2312" w:hAnsi="仿宋_GB2312" w:cs="仿宋_GB2312" w:eastAsia="仿宋_GB2312"/>
        </w:rPr>
        <w:t>采购包最高限价（元）: 3,666,000.00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渭南市卫生健康委员会脱贫地区儿童营养改善项目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3,666,000.00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标的名称：渭南市卫生健康委员会脱贫地区儿童营养改善项目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32"/>
              </w:rPr>
              <w:t>一、需执行的国家相关标准、行业标准、地方标准或者其他标准、规范</w:t>
            </w:r>
          </w:p>
          <w:p>
            <w:pPr>
              <w:pStyle w:val="null3"/>
              <w:ind w:firstLine="640"/>
              <w:jc w:val="both"/>
            </w:pPr>
            <w:r>
              <w:rPr>
                <w:rFonts w:ascii="仿宋_GB2312" w:hAnsi="仿宋_GB2312" w:cs="仿宋_GB2312" w:eastAsia="仿宋_GB2312"/>
                <w:sz w:val="32"/>
              </w:rPr>
              <w:t>项目营养包质量应当符合《食品安全国家标准辅食营养补充品》（</w:t>
            </w:r>
            <w:r>
              <w:rPr>
                <w:rFonts w:ascii="仿宋_GB2312" w:hAnsi="仿宋_GB2312" w:cs="仿宋_GB2312" w:eastAsia="仿宋_GB2312"/>
                <w:sz w:val="32"/>
              </w:rPr>
              <w:t>GB 22570-2014） 的要求。</w:t>
            </w:r>
          </w:p>
          <w:p>
            <w:pPr>
              <w:pStyle w:val="null3"/>
              <w:ind w:firstLine="640"/>
              <w:jc w:val="both"/>
            </w:pPr>
            <w:r>
              <w:rPr>
                <w:rFonts w:ascii="仿宋_GB2312" w:hAnsi="仿宋_GB2312" w:cs="仿宋_GB2312" w:eastAsia="仿宋_GB2312"/>
                <w:sz w:val="32"/>
              </w:rPr>
              <w:t>二、</w:t>
            </w:r>
            <w:r>
              <w:rPr>
                <w:rFonts w:ascii="仿宋_GB2312" w:hAnsi="仿宋_GB2312" w:cs="仿宋_GB2312" w:eastAsia="仿宋_GB2312"/>
                <w:sz w:val="32"/>
              </w:rPr>
              <w:t>采购标的数量和规格</w:t>
            </w:r>
          </w:p>
          <w:p>
            <w:pPr>
              <w:pStyle w:val="null3"/>
              <w:ind w:firstLine="640"/>
              <w:jc w:val="both"/>
            </w:pPr>
            <w:r>
              <w:rPr>
                <w:rFonts w:ascii="仿宋_GB2312" w:hAnsi="仿宋_GB2312" w:cs="仿宋_GB2312" w:eastAsia="仿宋_GB2312"/>
                <w:sz w:val="32"/>
              </w:rPr>
              <w:t>数量：项目资金</w:t>
            </w:r>
            <w:r>
              <w:rPr>
                <w:rFonts w:ascii="仿宋_GB2312" w:hAnsi="仿宋_GB2312" w:cs="仿宋_GB2312" w:eastAsia="仿宋_GB2312"/>
                <w:sz w:val="32"/>
              </w:rPr>
              <w:t>全部用于营养包项目采购，结算数量以实际采购数量为准</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color w:val="000000"/>
              </w:rPr>
              <w:t>规格：</w:t>
            </w:r>
            <w:r>
              <w:rPr>
                <w:rFonts w:ascii="仿宋_GB2312" w:hAnsi="仿宋_GB2312" w:cs="仿宋_GB2312" w:eastAsia="仿宋_GB2312"/>
                <w:sz w:val="32"/>
                <w:color w:val="000000"/>
              </w:rPr>
              <w:t>12 g/袋×30 袋/盒</w:t>
            </w:r>
          </w:p>
          <w:p>
            <w:pPr>
              <w:pStyle w:val="null3"/>
              <w:ind w:firstLine="640"/>
              <w:jc w:val="both"/>
            </w:pPr>
            <w:r>
              <w:rPr>
                <w:rFonts w:ascii="仿宋_GB2312" w:hAnsi="仿宋_GB2312" w:cs="仿宋_GB2312" w:eastAsia="仿宋_GB2312"/>
                <w:sz w:val="32"/>
              </w:rPr>
              <w:t>三、质量、安全、技术规格、物理特性等要求</w:t>
            </w:r>
          </w:p>
          <w:p>
            <w:pPr>
              <w:pStyle w:val="null3"/>
              <w:spacing w:before="60"/>
              <w:ind w:right="705" w:firstLine="640"/>
              <w:jc w:val="both"/>
            </w:pPr>
            <w:r>
              <w:rPr>
                <w:rFonts w:ascii="仿宋_GB2312" w:hAnsi="仿宋_GB2312" w:cs="仿宋_GB2312" w:eastAsia="仿宋_GB2312"/>
                <w:sz w:val="32"/>
              </w:rPr>
              <w:t>项目营养包质量应当符合《食品安全国家标准</w:t>
            </w:r>
            <w:r>
              <w:rPr>
                <w:rFonts w:ascii="仿宋_GB2312" w:hAnsi="仿宋_GB2312" w:cs="仿宋_GB2312" w:eastAsia="仿宋_GB2312"/>
                <w:sz w:val="32"/>
              </w:rPr>
              <w:t>辅食营养补充品》（</w:t>
            </w:r>
            <w:r>
              <w:rPr>
                <w:rFonts w:ascii="仿宋_GB2312" w:hAnsi="仿宋_GB2312" w:cs="仿宋_GB2312" w:eastAsia="仿宋_GB2312"/>
                <w:sz w:val="32"/>
              </w:rPr>
              <w:t>GB 22570-2014） 的要求。</w:t>
            </w:r>
          </w:p>
          <w:p>
            <w:pPr>
              <w:pStyle w:val="null3"/>
              <w:jc w:val="both"/>
              <w:outlineLvl w:val="5"/>
            </w:pPr>
            <w:r>
              <w:rPr>
                <w:rFonts w:ascii="仿宋_GB2312" w:hAnsi="仿宋_GB2312" w:cs="仿宋_GB2312" w:eastAsia="仿宋_GB2312"/>
                <w:sz w:val="32"/>
                <w:b/>
              </w:rPr>
              <w:t>（一）项目营养包质量规格书</w:t>
            </w:r>
          </w:p>
          <w:p>
            <w:pPr>
              <w:pStyle w:val="null3"/>
              <w:spacing w:before="165"/>
              <w:ind w:firstLine="640"/>
              <w:jc w:val="left"/>
            </w:pPr>
            <w:r>
              <w:rPr>
                <w:rFonts w:ascii="仿宋_GB2312" w:hAnsi="仿宋_GB2312" w:cs="仿宋_GB2312" w:eastAsia="仿宋_GB2312"/>
                <w:sz w:val="32"/>
              </w:rPr>
              <w:t>1.</w:t>
            </w:r>
            <w:r>
              <w:rPr>
                <w:rFonts w:ascii="仿宋_GB2312" w:hAnsi="仿宋_GB2312" w:cs="仿宋_GB2312" w:eastAsia="仿宋_GB2312"/>
                <w:sz w:val="32"/>
              </w:rPr>
              <w:t>产品：婴幼儿辅食营养包。</w:t>
            </w:r>
          </w:p>
          <w:p>
            <w:pPr>
              <w:pStyle w:val="null3"/>
              <w:spacing w:before="165"/>
              <w:ind w:firstLine="640"/>
              <w:jc w:val="left"/>
            </w:pPr>
            <w:r>
              <w:rPr>
                <w:rFonts w:ascii="仿宋_GB2312" w:hAnsi="仿宋_GB2312" w:cs="仿宋_GB2312" w:eastAsia="仿宋_GB2312"/>
                <w:sz w:val="32"/>
              </w:rPr>
              <w:t>2.</w:t>
            </w:r>
            <w:r>
              <w:rPr>
                <w:rFonts w:ascii="仿宋_GB2312" w:hAnsi="仿宋_GB2312" w:cs="仿宋_GB2312" w:eastAsia="仿宋_GB2312"/>
                <w:sz w:val="32"/>
              </w:rPr>
              <w:t>包装规格：</w:t>
            </w:r>
            <w:r>
              <w:rPr>
                <w:rFonts w:ascii="仿宋_GB2312" w:hAnsi="仿宋_GB2312" w:cs="仿宋_GB2312" w:eastAsia="仿宋_GB2312"/>
                <w:sz w:val="32"/>
              </w:rPr>
              <w:t>12 g/袋×30</w:t>
            </w:r>
            <w:r>
              <w:rPr>
                <w:rFonts w:ascii="仿宋_GB2312" w:hAnsi="仿宋_GB2312" w:cs="仿宋_GB2312" w:eastAsia="仿宋_GB2312"/>
                <w:sz w:val="32"/>
              </w:rPr>
              <w:t xml:space="preserve"> </w:t>
            </w:r>
            <w:r>
              <w:rPr>
                <w:rFonts w:ascii="仿宋_GB2312" w:hAnsi="仿宋_GB2312" w:cs="仿宋_GB2312" w:eastAsia="仿宋_GB2312"/>
                <w:sz w:val="32"/>
              </w:rPr>
              <w:t>袋</w:t>
            </w:r>
            <w:r>
              <w:rPr>
                <w:rFonts w:ascii="仿宋_GB2312" w:hAnsi="仿宋_GB2312" w:cs="仿宋_GB2312" w:eastAsia="仿宋_GB2312"/>
                <w:sz w:val="32"/>
              </w:rPr>
              <w:t>/盒。</w:t>
            </w:r>
          </w:p>
          <w:p>
            <w:pPr>
              <w:pStyle w:val="null3"/>
              <w:spacing w:before="165"/>
              <w:ind w:firstLine="640"/>
              <w:jc w:val="left"/>
            </w:pPr>
            <w:r>
              <w:rPr>
                <w:rFonts w:ascii="仿宋_GB2312" w:hAnsi="仿宋_GB2312" w:cs="仿宋_GB2312" w:eastAsia="仿宋_GB2312"/>
                <w:sz w:val="32"/>
              </w:rPr>
              <w:t>3.</w:t>
            </w:r>
            <w:r>
              <w:rPr>
                <w:rFonts w:ascii="仿宋_GB2312" w:hAnsi="仿宋_GB2312" w:cs="仿宋_GB2312" w:eastAsia="仿宋_GB2312"/>
                <w:sz w:val="32"/>
              </w:rPr>
              <w:t>适宜人群：</w:t>
            </w:r>
            <w:r>
              <w:rPr>
                <w:rFonts w:ascii="仿宋_GB2312" w:hAnsi="仿宋_GB2312" w:cs="仿宋_GB2312" w:eastAsia="仿宋_GB2312"/>
                <w:sz w:val="32"/>
              </w:rPr>
              <w:t>6-36</w:t>
            </w:r>
            <w:r>
              <w:rPr>
                <w:rFonts w:ascii="仿宋_GB2312" w:hAnsi="仿宋_GB2312" w:cs="仿宋_GB2312" w:eastAsia="仿宋_GB2312"/>
                <w:sz w:val="32"/>
              </w:rPr>
              <w:t xml:space="preserve"> </w:t>
            </w:r>
            <w:r>
              <w:rPr>
                <w:rFonts w:ascii="仿宋_GB2312" w:hAnsi="仿宋_GB2312" w:cs="仿宋_GB2312" w:eastAsia="仿宋_GB2312"/>
                <w:sz w:val="32"/>
              </w:rPr>
              <w:t>月龄婴幼儿。</w:t>
            </w:r>
          </w:p>
          <w:p>
            <w:pPr>
              <w:pStyle w:val="null3"/>
              <w:spacing w:before="165"/>
              <w:ind w:firstLine="604"/>
              <w:jc w:val="left"/>
            </w:pPr>
            <w:r>
              <w:rPr>
                <w:rFonts w:ascii="仿宋_GB2312" w:hAnsi="仿宋_GB2312" w:cs="仿宋_GB2312" w:eastAsia="仿宋_GB2312"/>
                <w:sz w:val="32"/>
              </w:rPr>
              <w:t>4.</w:t>
            </w:r>
            <w:r>
              <w:rPr>
                <w:rFonts w:ascii="仿宋_GB2312" w:hAnsi="仿宋_GB2312" w:cs="仿宋_GB2312" w:eastAsia="仿宋_GB2312"/>
                <w:sz w:val="32"/>
              </w:rPr>
              <w:t>保质期：至少</w:t>
            </w:r>
            <w:r>
              <w:rPr>
                <w:rFonts w:ascii="仿宋_GB2312" w:hAnsi="仿宋_GB2312" w:cs="仿宋_GB2312" w:eastAsia="仿宋_GB2312"/>
                <w:sz w:val="32"/>
              </w:rPr>
              <w:t>12</w:t>
            </w:r>
            <w:r>
              <w:rPr>
                <w:rFonts w:ascii="仿宋_GB2312" w:hAnsi="仿宋_GB2312" w:cs="仿宋_GB2312" w:eastAsia="仿宋_GB2312"/>
                <w:sz w:val="32"/>
              </w:rPr>
              <w:t xml:space="preserve"> </w:t>
            </w:r>
            <w:r>
              <w:rPr>
                <w:rFonts w:ascii="仿宋_GB2312" w:hAnsi="仿宋_GB2312" w:cs="仿宋_GB2312" w:eastAsia="仿宋_GB2312"/>
                <w:sz w:val="32"/>
              </w:rPr>
              <w:t>个月。</w:t>
            </w:r>
          </w:p>
          <w:p>
            <w:pPr>
              <w:pStyle w:val="null3"/>
              <w:spacing w:before="165"/>
              <w:ind w:right="705" w:firstLine="640"/>
              <w:jc w:val="left"/>
            </w:pPr>
            <w:r>
              <w:rPr>
                <w:rFonts w:ascii="仿宋_GB2312" w:hAnsi="仿宋_GB2312" w:cs="仿宋_GB2312" w:eastAsia="仿宋_GB2312"/>
                <w:sz w:val="32"/>
              </w:rPr>
              <w:t>5.</w:t>
            </w:r>
            <w:r>
              <w:rPr>
                <w:rFonts w:ascii="仿宋_GB2312" w:hAnsi="仿宋_GB2312" w:cs="仿宋_GB2312" w:eastAsia="仿宋_GB2312"/>
                <w:sz w:val="32"/>
              </w:rPr>
              <w:t>感官要求：淡黄色粉状或微粒状，松散无结块，具有本品特有的滋味和气味、无异味和不良气味，不应有正常视力可见的外来异物，易冲调成均匀稀薄糊状。</w:t>
            </w:r>
          </w:p>
          <w:p>
            <w:pPr>
              <w:pStyle w:val="null3"/>
              <w:spacing w:before="165"/>
              <w:ind w:right="705" w:firstLine="640"/>
              <w:jc w:val="left"/>
            </w:pPr>
            <w:r>
              <w:rPr>
                <w:rFonts w:ascii="仿宋_GB2312" w:hAnsi="仿宋_GB2312" w:cs="仿宋_GB2312" w:eastAsia="仿宋_GB2312"/>
                <w:sz w:val="32"/>
              </w:rPr>
              <w:t>6.营养成分</w:t>
            </w:r>
          </w:p>
          <w:tbl>
            <w:tblPr>
              <w:tblBorders>
                <w:top w:val="none" w:color="000000" w:sz="4"/>
                <w:left w:val="none" w:color="000000" w:sz="4"/>
                <w:bottom w:val="none" w:color="000000" w:sz="4"/>
                <w:right w:val="none" w:color="000000" w:sz="4"/>
                <w:insideH w:val="none"/>
                <w:insideV w:val="none"/>
              </w:tblBorders>
            </w:tblPr>
            <w:tblGrid>
              <w:gridCol w:w="1502"/>
              <w:gridCol w:w="1051"/>
            </w:tblGrid>
            <w:tr>
              <w:tc>
                <w:tcPr>
                  <w:tcW w:type="dxa" w:w="15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75" w:right="360"/>
                    <w:jc w:val="center"/>
                  </w:pPr>
                  <w:r>
                    <w:rPr>
                      <w:rFonts w:ascii="仿宋_GB2312" w:hAnsi="仿宋_GB2312" w:cs="仿宋_GB2312" w:eastAsia="仿宋_GB2312"/>
                      <w:sz w:val="32"/>
                      <w:b/>
                    </w:rPr>
                    <w:t>营养素</w:t>
                  </w:r>
                </w:p>
              </w:tc>
              <w:tc>
                <w:tcPr>
                  <w:tcW w:type="dxa" w:w="10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75" w:right="360"/>
                    <w:jc w:val="center"/>
                  </w:pPr>
                  <w:r>
                    <w:rPr>
                      <w:rFonts w:ascii="仿宋_GB2312" w:hAnsi="仿宋_GB2312" w:cs="仿宋_GB2312" w:eastAsia="仿宋_GB2312"/>
                      <w:sz w:val="32"/>
                      <w:b/>
                    </w:rPr>
                    <w:t>含量范围要求</w:t>
                  </w:r>
                </w:p>
              </w:tc>
            </w:tr>
            <w:tr>
              <w:tc>
                <w:tcPr>
                  <w:tcW w:type="dxa" w:w="1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75" w:right="360"/>
                    <w:jc w:val="center"/>
                  </w:pPr>
                  <w:r>
                    <w:rPr>
                      <w:rFonts w:ascii="仿宋_GB2312" w:hAnsi="仿宋_GB2312" w:cs="仿宋_GB2312" w:eastAsia="仿宋_GB2312"/>
                      <w:sz w:val="32"/>
                    </w:rPr>
                    <w:t>蛋白质</w:t>
                  </w:r>
                  <w:r>
                    <w:rPr>
                      <w:rFonts w:ascii="仿宋_GB2312" w:hAnsi="仿宋_GB2312" w:cs="仿宋_GB2312" w:eastAsia="仿宋_GB2312"/>
                      <w:sz w:val="32"/>
                    </w:rPr>
                    <w:t>(g)</w:t>
                  </w:r>
                </w:p>
              </w:tc>
              <w:tc>
                <w:tcPr>
                  <w:tcW w:type="dxa" w:w="10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75" w:right="360"/>
                    <w:jc w:val="center"/>
                  </w:pPr>
                  <w:r>
                    <w:rPr>
                      <w:rFonts w:ascii="仿宋_GB2312" w:hAnsi="仿宋_GB2312" w:cs="仿宋_GB2312" w:eastAsia="仿宋_GB2312"/>
                      <w:sz w:val="32"/>
                    </w:rPr>
                    <w:t>≥ 3</w:t>
                  </w:r>
                </w:p>
              </w:tc>
            </w:tr>
            <w:tr>
              <w:tc>
                <w:tcPr>
                  <w:tcW w:type="dxa" w:w="1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75" w:right="360"/>
                    <w:jc w:val="center"/>
                  </w:pPr>
                  <w:r>
                    <w:rPr>
                      <w:rFonts w:ascii="仿宋_GB2312" w:hAnsi="仿宋_GB2312" w:cs="仿宋_GB2312" w:eastAsia="仿宋_GB2312"/>
                      <w:sz w:val="32"/>
                    </w:rPr>
                    <w:t>钙</w:t>
                  </w:r>
                  <w:r>
                    <w:rPr>
                      <w:rFonts w:ascii="仿宋_GB2312" w:hAnsi="仿宋_GB2312" w:cs="仿宋_GB2312" w:eastAsia="仿宋_GB2312"/>
                      <w:sz w:val="32"/>
                    </w:rPr>
                    <w:t>(mg)</w:t>
                  </w:r>
                </w:p>
              </w:tc>
              <w:tc>
                <w:tcPr>
                  <w:tcW w:type="dxa" w:w="10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75" w:right="360"/>
                    <w:jc w:val="center"/>
                  </w:pPr>
                  <w:r>
                    <w:rPr>
                      <w:rFonts w:ascii="仿宋_GB2312" w:hAnsi="仿宋_GB2312" w:cs="仿宋_GB2312" w:eastAsia="仿宋_GB2312"/>
                      <w:sz w:val="32"/>
                    </w:rPr>
                    <w:t>180-240</w:t>
                  </w:r>
                </w:p>
              </w:tc>
            </w:tr>
            <w:tr>
              <w:tc>
                <w:tcPr>
                  <w:tcW w:type="dxa" w:w="1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75" w:right="360"/>
                    <w:jc w:val="center"/>
                  </w:pPr>
                  <w:r>
                    <w:rPr>
                      <w:rFonts w:ascii="仿宋_GB2312" w:hAnsi="仿宋_GB2312" w:cs="仿宋_GB2312" w:eastAsia="仿宋_GB2312"/>
                      <w:sz w:val="32"/>
                    </w:rPr>
                    <w:t>铁</w:t>
                  </w:r>
                  <w:r>
                    <w:rPr>
                      <w:rFonts w:ascii="仿宋_GB2312" w:hAnsi="仿宋_GB2312" w:cs="仿宋_GB2312" w:eastAsia="仿宋_GB2312"/>
                      <w:sz w:val="32"/>
                    </w:rPr>
                    <w:t>(mg)</w:t>
                  </w:r>
                </w:p>
              </w:tc>
              <w:tc>
                <w:tcPr>
                  <w:tcW w:type="dxa" w:w="10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75" w:right="360"/>
                    <w:jc w:val="center"/>
                  </w:pPr>
                  <w:r>
                    <w:rPr>
                      <w:rFonts w:ascii="仿宋_GB2312" w:hAnsi="仿宋_GB2312" w:cs="仿宋_GB2312" w:eastAsia="仿宋_GB2312"/>
                      <w:sz w:val="32"/>
                    </w:rPr>
                    <w:t>6.0-9.0</w:t>
                  </w:r>
                </w:p>
              </w:tc>
            </w:tr>
            <w:tr>
              <w:tc>
                <w:tcPr>
                  <w:tcW w:type="dxa" w:w="1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75" w:right="360"/>
                    <w:jc w:val="center"/>
                  </w:pPr>
                  <w:r>
                    <w:rPr>
                      <w:rFonts w:ascii="仿宋_GB2312" w:hAnsi="仿宋_GB2312" w:cs="仿宋_GB2312" w:eastAsia="仿宋_GB2312"/>
                      <w:sz w:val="32"/>
                    </w:rPr>
                    <w:t>锌</w:t>
                  </w:r>
                  <w:r>
                    <w:rPr>
                      <w:rFonts w:ascii="仿宋_GB2312" w:hAnsi="仿宋_GB2312" w:cs="仿宋_GB2312" w:eastAsia="仿宋_GB2312"/>
                      <w:sz w:val="32"/>
                    </w:rPr>
                    <w:t>(mg)</w:t>
                  </w:r>
                </w:p>
              </w:tc>
              <w:tc>
                <w:tcPr>
                  <w:tcW w:type="dxa" w:w="10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75" w:right="360"/>
                    <w:jc w:val="center"/>
                  </w:pPr>
                  <w:r>
                    <w:rPr>
                      <w:rFonts w:ascii="仿宋_GB2312" w:hAnsi="仿宋_GB2312" w:cs="仿宋_GB2312" w:eastAsia="仿宋_GB2312"/>
                      <w:sz w:val="32"/>
                    </w:rPr>
                    <w:t>2.4-6.0</w:t>
                  </w:r>
                </w:p>
              </w:tc>
            </w:tr>
            <w:tr>
              <w:tc>
                <w:tcPr>
                  <w:tcW w:type="dxa" w:w="1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75" w:right="360"/>
                    <w:jc w:val="center"/>
                  </w:pPr>
                  <w:r>
                    <w:rPr>
                      <w:rFonts w:ascii="仿宋_GB2312" w:hAnsi="仿宋_GB2312" w:cs="仿宋_GB2312" w:eastAsia="仿宋_GB2312"/>
                      <w:sz w:val="32"/>
                    </w:rPr>
                    <w:t>维生素</w:t>
                  </w:r>
                  <w:r>
                    <w:rPr>
                      <w:rFonts w:ascii="仿宋_GB2312" w:hAnsi="仿宋_GB2312" w:cs="仿宋_GB2312" w:eastAsia="仿宋_GB2312"/>
                      <w:sz w:val="32"/>
                    </w:rPr>
                    <w:t>A (μg)</w:t>
                  </w:r>
                </w:p>
              </w:tc>
              <w:tc>
                <w:tcPr>
                  <w:tcW w:type="dxa" w:w="10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75" w:right="360"/>
                    <w:jc w:val="center"/>
                  </w:pPr>
                  <w:r>
                    <w:rPr>
                      <w:rFonts w:ascii="仿宋_GB2312" w:hAnsi="仿宋_GB2312" w:cs="仿宋_GB2312" w:eastAsia="仿宋_GB2312"/>
                      <w:sz w:val="32"/>
                    </w:rPr>
                    <w:t>200-360</w:t>
                  </w:r>
                </w:p>
              </w:tc>
            </w:tr>
            <w:tr>
              <w:tc>
                <w:tcPr>
                  <w:tcW w:type="dxa" w:w="1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75" w:right="360"/>
                    <w:jc w:val="center"/>
                  </w:pPr>
                  <w:r>
                    <w:rPr>
                      <w:rFonts w:ascii="仿宋_GB2312" w:hAnsi="仿宋_GB2312" w:cs="仿宋_GB2312" w:eastAsia="仿宋_GB2312"/>
                      <w:sz w:val="32"/>
                    </w:rPr>
                    <w:t>维生素</w:t>
                  </w:r>
                  <w:r>
                    <w:rPr>
                      <w:rFonts w:ascii="仿宋_GB2312" w:hAnsi="仿宋_GB2312" w:cs="仿宋_GB2312" w:eastAsia="仿宋_GB2312"/>
                      <w:sz w:val="32"/>
                    </w:rPr>
                    <w:t>D (μg)</w:t>
                  </w:r>
                </w:p>
              </w:tc>
              <w:tc>
                <w:tcPr>
                  <w:tcW w:type="dxa" w:w="10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705"/>
                  </w:pPr>
                  <w:r>
                    <w:rPr>
                      <w:rFonts w:ascii="仿宋_GB2312" w:hAnsi="仿宋_GB2312" w:cs="仿宋_GB2312" w:eastAsia="仿宋_GB2312"/>
                      <w:sz w:val="32"/>
                    </w:rPr>
                    <w:t>4.0-9.0</w:t>
                  </w:r>
                </w:p>
              </w:tc>
            </w:tr>
            <w:tr>
              <w:tc>
                <w:tcPr>
                  <w:tcW w:type="dxa" w:w="1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75" w:right="360"/>
                    <w:jc w:val="center"/>
                  </w:pPr>
                  <w:r>
                    <w:rPr>
                      <w:rFonts w:ascii="仿宋_GB2312" w:hAnsi="仿宋_GB2312" w:cs="仿宋_GB2312" w:eastAsia="仿宋_GB2312"/>
                      <w:sz w:val="32"/>
                    </w:rPr>
                    <w:t>维生素</w:t>
                  </w:r>
                  <w:r>
                    <w:rPr>
                      <w:rFonts w:ascii="仿宋_GB2312" w:hAnsi="仿宋_GB2312" w:cs="仿宋_GB2312" w:eastAsia="仿宋_GB2312"/>
                      <w:sz w:val="32"/>
                    </w:rPr>
                    <w:t>B</w:t>
                  </w:r>
                  <w:r>
                    <w:rPr>
                      <w:rFonts w:ascii="仿宋_GB2312" w:hAnsi="仿宋_GB2312" w:cs="仿宋_GB2312" w:eastAsia="仿宋_GB2312"/>
                      <w:sz w:val="32"/>
                    </w:rPr>
                    <w:t xml:space="preserve">1 </w:t>
                  </w:r>
                  <w:r>
                    <w:rPr>
                      <w:rFonts w:ascii="仿宋_GB2312" w:hAnsi="仿宋_GB2312" w:cs="仿宋_GB2312" w:eastAsia="仿宋_GB2312"/>
                      <w:sz w:val="32"/>
                    </w:rPr>
                    <w:t>(mg)</w:t>
                  </w:r>
                </w:p>
              </w:tc>
              <w:tc>
                <w:tcPr>
                  <w:tcW w:type="dxa" w:w="10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765"/>
                  </w:pPr>
                  <w:r>
                    <w:rPr>
                      <w:rFonts w:ascii="仿宋_GB2312" w:hAnsi="仿宋_GB2312" w:cs="仿宋_GB2312" w:eastAsia="仿宋_GB2312"/>
                      <w:sz w:val="32"/>
                    </w:rPr>
                    <w:t>≥ 0.4</w:t>
                  </w:r>
                </w:p>
              </w:tc>
            </w:tr>
            <w:tr>
              <w:tc>
                <w:tcPr>
                  <w:tcW w:type="dxa" w:w="1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75" w:right="360"/>
                    <w:jc w:val="center"/>
                  </w:pPr>
                  <w:r>
                    <w:rPr>
                      <w:rFonts w:ascii="仿宋_GB2312" w:hAnsi="仿宋_GB2312" w:cs="仿宋_GB2312" w:eastAsia="仿宋_GB2312"/>
                      <w:sz w:val="32"/>
                    </w:rPr>
                    <w:t>维生素</w:t>
                  </w:r>
                  <w:r>
                    <w:rPr>
                      <w:rFonts w:ascii="仿宋_GB2312" w:hAnsi="仿宋_GB2312" w:cs="仿宋_GB2312" w:eastAsia="仿宋_GB2312"/>
                      <w:sz w:val="32"/>
                    </w:rPr>
                    <w:t>B</w:t>
                  </w:r>
                  <w:r>
                    <w:rPr>
                      <w:rFonts w:ascii="仿宋_GB2312" w:hAnsi="仿宋_GB2312" w:cs="仿宋_GB2312" w:eastAsia="仿宋_GB2312"/>
                      <w:sz w:val="32"/>
                    </w:rPr>
                    <w:t xml:space="preserve">2 </w:t>
                  </w:r>
                  <w:r>
                    <w:rPr>
                      <w:rFonts w:ascii="仿宋_GB2312" w:hAnsi="仿宋_GB2312" w:cs="仿宋_GB2312" w:eastAsia="仿宋_GB2312"/>
                      <w:sz w:val="32"/>
                    </w:rPr>
                    <w:t>(mg)</w:t>
                  </w:r>
                </w:p>
              </w:tc>
              <w:tc>
                <w:tcPr>
                  <w:tcW w:type="dxa" w:w="10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765"/>
                  </w:pPr>
                  <w:r>
                    <w:rPr>
                      <w:rFonts w:ascii="仿宋_GB2312" w:hAnsi="仿宋_GB2312" w:cs="仿宋_GB2312" w:eastAsia="仿宋_GB2312"/>
                      <w:sz w:val="32"/>
                    </w:rPr>
                    <w:t>≥ 0.4</w:t>
                  </w:r>
                </w:p>
              </w:tc>
            </w:tr>
            <w:tr>
              <w:tc>
                <w:tcPr>
                  <w:tcW w:type="dxa" w:w="1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75" w:right="360"/>
                    <w:jc w:val="center"/>
                  </w:pPr>
                  <w:r>
                    <w:rPr>
                      <w:rFonts w:ascii="仿宋_GB2312" w:hAnsi="仿宋_GB2312" w:cs="仿宋_GB2312" w:eastAsia="仿宋_GB2312"/>
                      <w:sz w:val="32"/>
                    </w:rPr>
                    <w:t>叶酸</w:t>
                  </w:r>
                  <w:r>
                    <w:rPr>
                      <w:rFonts w:ascii="仿宋_GB2312" w:hAnsi="仿宋_GB2312" w:cs="仿宋_GB2312" w:eastAsia="仿宋_GB2312"/>
                      <w:sz w:val="32"/>
                    </w:rPr>
                    <w:t>(μg)</w:t>
                  </w:r>
                </w:p>
              </w:tc>
              <w:tc>
                <w:tcPr>
                  <w:tcW w:type="dxa" w:w="10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765"/>
                  </w:pPr>
                  <w:r>
                    <w:rPr>
                      <w:rFonts w:ascii="仿宋_GB2312" w:hAnsi="仿宋_GB2312" w:cs="仿宋_GB2312" w:eastAsia="仿宋_GB2312"/>
                      <w:sz w:val="32"/>
                    </w:rPr>
                    <w:t>60-150</w:t>
                  </w:r>
                </w:p>
              </w:tc>
            </w:tr>
            <w:tr>
              <w:tc>
                <w:tcPr>
                  <w:tcW w:type="dxa" w:w="1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75" w:right="360"/>
                    <w:jc w:val="center"/>
                  </w:pPr>
                  <w:r>
                    <w:rPr>
                      <w:rFonts w:ascii="仿宋_GB2312" w:hAnsi="仿宋_GB2312" w:cs="仿宋_GB2312" w:eastAsia="仿宋_GB2312"/>
                      <w:sz w:val="32"/>
                    </w:rPr>
                    <w:t>维生素</w:t>
                  </w:r>
                  <w:r>
                    <w:rPr>
                      <w:rFonts w:ascii="仿宋_GB2312" w:hAnsi="仿宋_GB2312" w:cs="仿宋_GB2312" w:eastAsia="仿宋_GB2312"/>
                      <w:sz w:val="32"/>
                    </w:rPr>
                    <w:t>B</w:t>
                  </w:r>
                  <w:r>
                    <w:rPr>
                      <w:rFonts w:ascii="仿宋_GB2312" w:hAnsi="仿宋_GB2312" w:cs="仿宋_GB2312" w:eastAsia="仿宋_GB2312"/>
                      <w:sz w:val="32"/>
                    </w:rPr>
                    <w:t xml:space="preserve">12 </w:t>
                  </w:r>
                  <w:r>
                    <w:rPr>
                      <w:rFonts w:ascii="仿宋_GB2312" w:hAnsi="仿宋_GB2312" w:cs="仿宋_GB2312" w:eastAsia="仿宋_GB2312"/>
                      <w:sz w:val="32"/>
                    </w:rPr>
                    <w:t>(μg)</w:t>
                  </w:r>
                </w:p>
              </w:tc>
              <w:tc>
                <w:tcPr>
                  <w:tcW w:type="dxa" w:w="10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765"/>
                  </w:pPr>
                  <w:r>
                    <w:rPr>
                      <w:rFonts w:ascii="仿宋_GB2312" w:hAnsi="仿宋_GB2312" w:cs="仿宋_GB2312" w:eastAsia="仿宋_GB2312"/>
                      <w:sz w:val="32"/>
                    </w:rPr>
                    <w:t>≥ 0.4</w:t>
                  </w:r>
                </w:p>
              </w:tc>
            </w:tr>
          </w:tbl>
          <w:p>
            <w:pPr>
              <w:pStyle w:val="null3"/>
              <w:spacing w:before="15"/>
              <w:ind w:firstLine="640"/>
              <w:jc w:val="left"/>
            </w:pPr>
            <w:r>
              <w:rPr>
                <w:rFonts w:ascii="仿宋_GB2312" w:hAnsi="仿宋_GB2312" w:cs="仿宋_GB2312" w:eastAsia="仿宋_GB2312"/>
                <w:sz w:val="32"/>
              </w:rPr>
              <w:t>7.</w:t>
            </w:r>
            <w:r>
              <w:rPr>
                <w:rFonts w:ascii="仿宋_GB2312" w:hAnsi="仿宋_GB2312" w:cs="仿宋_GB2312" w:eastAsia="仿宋_GB2312"/>
                <w:sz w:val="32"/>
              </w:rPr>
              <w:t>其他指标要求：</w:t>
            </w:r>
          </w:p>
          <w:tbl>
            <w:tblPr>
              <w:tblInd w:type="dxa" w:w="135"/>
              <w:tblBorders>
                <w:top w:val="none" w:color="000000" w:sz="4"/>
                <w:left w:val="none" w:color="000000" w:sz="4"/>
                <w:bottom w:val="none" w:color="000000" w:sz="4"/>
                <w:right w:val="none" w:color="000000" w:sz="4"/>
                <w:insideH w:val="none"/>
                <w:insideV w:val="none"/>
              </w:tblBorders>
            </w:tblPr>
            <w:tblGrid>
              <w:gridCol w:w="403"/>
              <w:gridCol w:w="223"/>
              <w:gridCol w:w="242"/>
              <w:gridCol w:w="137"/>
              <w:gridCol w:w="137"/>
              <w:gridCol w:w="301"/>
              <w:gridCol w:w="1110"/>
            </w:tblGrid>
            <w:tr>
              <w:tc>
                <w:tcPr>
                  <w:tcW w:type="dxa" w:w="2553"/>
                  <w:gridSpan w:val="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155" w:right="4140"/>
                    <w:jc w:val="center"/>
                  </w:pPr>
                  <w:r>
                    <w:rPr>
                      <w:rFonts w:ascii="仿宋_GB2312" w:hAnsi="仿宋_GB2312" w:cs="仿宋_GB2312" w:eastAsia="仿宋_GB2312"/>
                      <w:sz w:val="24"/>
                      <w:b/>
                    </w:rPr>
                    <w:t>污染物限量</w:t>
                  </w:r>
                </w:p>
              </w:tc>
            </w:tr>
            <w:tr>
              <w:tc>
                <w:tcPr>
                  <w:tcW w:type="dxa" w:w="1005"/>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rFonts w:ascii="仿宋_GB2312" w:hAnsi="仿宋_GB2312" w:cs="仿宋_GB2312" w:eastAsia="仿宋_GB2312"/>
                      <w:sz w:val="24"/>
                    </w:rPr>
                    <w:t>项</w:t>
                  </w:r>
                  <w:r>
                    <w:rPr>
                      <w:rFonts w:ascii="仿宋_GB2312" w:hAnsi="仿宋_GB2312" w:cs="仿宋_GB2312" w:eastAsia="仿宋_GB2312"/>
                      <w:sz w:val="24"/>
                    </w:rPr>
                    <w:t>目</w:t>
                  </w:r>
                </w:p>
              </w:tc>
              <w:tc>
                <w:tcPr>
                  <w:tcW w:type="dxa" w:w="438"/>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555"/>
                  </w:pPr>
                  <w:r>
                    <w:rPr>
                      <w:rFonts w:ascii="仿宋_GB2312" w:hAnsi="仿宋_GB2312" w:cs="仿宋_GB2312" w:eastAsia="仿宋_GB2312"/>
                      <w:sz w:val="24"/>
                    </w:rPr>
                    <w:t>指</w:t>
                  </w:r>
                  <w:r>
                    <w:rPr>
                      <w:rFonts w:ascii="仿宋_GB2312" w:hAnsi="仿宋_GB2312" w:cs="仿宋_GB2312" w:eastAsia="仿宋_GB2312"/>
                      <w:sz w:val="24"/>
                    </w:rPr>
                    <w:t>标</w:t>
                  </w:r>
                </w:p>
              </w:tc>
              <w:tc>
                <w:tcPr>
                  <w:tcW w:type="dxa" w:w="111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rFonts w:ascii="仿宋_GB2312" w:hAnsi="仿宋_GB2312" w:cs="仿宋_GB2312" w:eastAsia="仿宋_GB2312"/>
                      <w:sz w:val="24"/>
                    </w:rPr>
                    <w:t>说</w:t>
                  </w:r>
                  <w:r>
                    <w:rPr>
                      <w:rFonts w:ascii="仿宋_GB2312" w:hAnsi="仿宋_GB2312" w:cs="仿宋_GB2312" w:eastAsia="仿宋_GB2312"/>
                      <w:sz w:val="24"/>
                    </w:rPr>
                    <w:t>明</w:t>
                  </w:r>
                </w:p>
              </w:tc>
            </w:tr>
            <w:tr>
              <w:tc>
                <w:tcPr>
                  <w:tcW w:type="dxa" w:w="1005"/>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125"/>
                  </w:pPr>
                  <w:r>
                    <w:rPr>
                      <w:rFonts w:ascii="仿宋_GB2312" w:hAnsi="仿宋_GB2312" w:cs="仿宋_GB2312" w:eastAsia="仿宋_GB2312"/>
                      <w:sz w:val="24"/>
                    </w:rPr>
                    <w:t>铅</w:t>
                  </w:r>
                  <w:r>
                    <w:rPr>
                      <w:rFonts w:ascii="仿宋_GB2312" w:hAnsi="仿宋_GB2312" w:cs="仿宋_GB2312" w:eastAsia="仿宋_GB2312"/>
                      <w:sz w:val="24"/>
                    </w:rPr>
                    <w:t>/(mg/kg)</w:t>
                  </w:r>
                </w:p>
              </w:tc>
              <w:tc>
                <w:tcPr>
                  <w:tcW w:type="dxa" w:w="43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60" w:right="645"/>
                    <w:jc w:val="center"/>
                  </w:pPr>
                  <w:r>
                    <w:rPr>
                      <w:rFonts w:ascii="仿宋_GB2312" w:hAnsi="仿宋_GB2312" w:cs="仿宋_GB2312" w:eastAsia="仿宋_GB2312"/>
                      <w:sz w:val="24"/>
                    </w:rPr>
                    <w:t>≤0.5</w:t>
                  </w:r>
                </w:p>
              </w:tc>
              <w:tc>
                <w:tcPr>
                  <w:tcW w:type="dxa" w:w="111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仿宋_GB2312" w:hAnsi="仿宋_GB2312" w:cs="仿宋_GB2312" w:eastAsia="仿宋_GB2312"/>
                      <w:sz w:val="24"/>
                    </w:rPr>
                    <w:t>-</w:t>
                  </w:r>
                </w:p>
              </w:tc>
            </w:tr>
            <w:tr>
              <w:tc>
                <w:tcPr>
                  <w:tcW w:type="dxa" w:w="1005"/>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05"/>
                  </w:pPr>
                  <w:r>
                    <w:rPr>
                      <w:rFonts w:ascii="仿宋_GB2312" w:hAnsi="仿宋_GB2312" w:cs="仿宋_GB2312" w:eastAsia="仿宋_GB2312"/>
                      <w:sz w:val="24"/>
                    </w:rPr>
                    <w:t>总砷</w:t>
                  </w:r>
                  <w:r>
                    <w:rPr>
                      <w:rFonts w:ascii="仿宋_GB2312" w:hAnsi="仿宋_GB2312" w:cs="仿宋_GB2312" w:eastAsia="仿宋_GB2312"/>
                      <w:sz w:val="24"/>
                    </w:rPr>
                    <w:t>/(mg/kg)</w:t>
                  </w:r>
                </w:p>
              </w:tc>
              <w:tc>
                <w:tcPr>
                  <w:tcW w:type="dxa" w:w="43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60" w:right="645"/>
                    <w:jc w:val="center"/>
                  </w:pPr>
                  <w:r>
                    <w:rPr>
                      <w:rFonts w:ascii="仿宋_GB2312" w:hAnsi="仿宋_GB2312" w:cs="仿宋_GB2312" w:eastAsia="仿宋_GB2312"/>
                      <w:sz w:val="24"/>
                    </w:rPr>
                    <w:t>≤0.5</w:t>
                  </w:r>
                </w:p>
              </w:tc>
            </w:tr>
            <w:tr>
              <w:tc>
                <w:tcPr>
                  <w:tcW w:type="dxa" w:w="1005"/>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110"/>
                    <w:jc w:val="right"/>
                  </w:pPr>
                  <w:r>
                    <w:rPr>
                      <w:rFonts w:ascii="仿宋_GB2312" w:hAnsi="仿宋_GB2312" w:cs="仿宋_GB2312" w:eastAsia="仿宋_GB2312"/>
                      <w:sz w:val="24"/>
                    </w:rPr>
                    <w:t>a</w:t>
                  </w:r>
                </w:p>
                <w:p>
                  <w:pPr>
                    <w:pStyle w:val="null3"/>
                    <w:ind w:left="105"/>
                  </w:pPr>
                  <w:r>
                    <w:rPr>
                      <w:rFonts w:ascii="仿宋_GB2312" w:hAnsi="仿宋_GB2312" w:cs="仿宋_GB2312" w:eastAsia="仿宋_GB2312"/>
                      <w:sz w:val="24"/>
                    </w:rPr>
                    <w:t>硝酸盐</w:t>
                  </w:r>
                  <w:r>
                    <w:rPr>
                      <w:rFonts w:ascii="仿宋_GB2312" w:hAnsi="仿宋_GB2312" w:cs="仿宋_GB2312" w:eastAsia="仿宋_GB2312"/>
                      <w:sz w:val="24"/>
                    </w:rPr>
                    <w:t>（</w:t>
                  </w:r>
                  <w:r>
                    <w:rPr>
                      <w:rFonts w:ascii="仿宋_GB2312" w:hAnsi="仿宋_GB2312" w:cs="仿宋_GB2312" w:eastAsia="仿宋_GB2312"/>
                      <w:sz w:val="24"/>
                    </w:rPr>
                    <w:t>以</w:t>
                  </w:r>
                  <w:r>
                    <w:rPr>
                      <w:rFonts w:ascii="仿宋_GB2312" w:hAnsi="仿宋_GB2312" w:cs="仿宋_GB2312" w:eastAsia="仿宋_GB2312"/>
                      <w:sz w:val="24"/>
                    </w:rPr>
                    <w:t>NaNO</w:t>
                  </w:r>
                  <w:r>
                    <w:rPr>
                      <w:rFonts w:ascii="仿宋_GB2312" w:hAnsi="仿宋_GB2312" w:cs="仿宋_GB2312" w:eastAsia="仿宋_GB2312"/>
                      <w:sz w:val="24"/>
                    </w:rPr>
                    <w:t xml:space="preserve">3 </w:t>
                  </w:r>
                  <w:r>
                    <w:rPr>
                      <w:rFonts w:ascii="仿宋_GB2312" w:hAnsi="仿宋_GB2312" w:cs="仿宋_GB2312" w:eastAsia="仿宋_GB2312"/>
                      <w:sz w:val="24"/>
                    </w:rPr>
                    <w:t>计）</w:t>
                  </w:r>
                  <w:r>
                    <w:rPr>
                      <w:rFonts w:ascii="仿宋_GB2312" w:hAnsi="仿宋_GB2312" w:cs="仿宋_GB2312" w:eastAsia="仿宋_GB2312"/>
                      <w:sz w:val="24"/>
                    </w:rPr>
                    <w:t>/(mg/kg)</w:t>
                  </w:r>
                </w:p>
              </w:tc>
              <w:tc>
                <w:tcPr>
                  <w:tcW w:type="dxa" w:w="43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60" w:right="645"/>
                    <w:jc w:val="center"/>
                  </w:pPr>
                  <w:r>
                    <w:rPr>
                      <w:rFonts w:ascii="仿宋_GB2312" w:hAnsi="仿宋_GB2312" w:cs="仿宋_GB2312" w:eastAsia="仿宋_GB2312"/>
                      <w:sz w:val="24"/>
                    </w:rPr>
                    <w:t>≤100</w:t>
                  </w:r>
                </w:p>
              </w:tc>
              <w:tc>
                <w:tcPr>
                  <w:tcW w:type="dxa" w:w="11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a</w:t>
                  </w:r>
                  <w:r>
                    <w:rPr>
                      <w:rFonts w:ascii="仿宋_GB2312" w:hAnsi="仿宋_GB2312" w:cs="仿宋_GB2312" w:eastAsia="仿宋_GB2312"/>
                      <w:sz w:val="24"/>
                    </w:rPr>
                    <w:t>不适用于添加蔬菜和水果的产品。</w:t>
                  </w:r>
                </w:p>
              </w:tc>
            </w:tr>
            <w:tr>
              <w:tc>
                <w:tcPr>
                  <w:tcW w:type="dxa" w:w="2553"/>
                  <w:gridSpan w:val="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155" w:right="4140"/>
                    <w:jc w:val="center"/>
                  </w:pPr>
                  <w:r>
                    <w:rPr>
                      <w:rFonts w:ascii="仿宋_GB2312" w:hAnsi="仿宋_GB2312" w:cs="仿宋_GB2312" w:eastAsia="仿宋_GB2312"/>
                      <w:sz w:val="24"/>
                      <w:b/>
                    </w:rPr>
                    <w:t>真菌毒素限量</w:t>
                  </w:r>
                </w:p>
              </w:tc>
            </w:tr>
            <w:tr>
              <w:tc>
                <w:tcPr>
                  <w:tcW w:type="dxa" w:w="1005"/>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rFonts w:ascii="仿宋_GB2312" w:hAnsi="仿宋_GB2312" w:cs="仿宋_GB2312" w:eastAsia="仿宋_GB2312"/>
                      <w:sz w:val="24"/>
                    </w:rPr>
                    <w:t>项</w:t>
                  </w:r>
                  <w:r>
                    <w:rPr>
                      <w:rFonts w:ascii="仿宋_GB2312" w:hAnsi="仿宋_GB2312" w:cs="仿宋_GB2312" w:eastAsia="仿宋_GB2312"/>
                      <w:sz w:val="24"/>
                    </w:rPr>
                    <w:t>目</w:t>
                  </w:r>
                </w:p>
              </w:tc>
              <w:tc>
                <w:tcPr>
                  <w:tcW w:type="dxa" w:w="438"/>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555"/>
                  </w:pPr>
                  <w:r>
                    <w:rPr>
                      <w:rFonts w:ascii="仿宋_GB2312" w:hAnsi="仿宋_GB2312" w:cs="仿宋_GB2312" w:eastAsia="仿宋_GB2312"/>
                      <w:sz w:val="24"/>
                    </w:rPr>
                    <w:t>指</w:t>
                  </w:r>
                  <w:r>
                    <w:rPr>
                      <w:rFonts w:ascii="仿宋_GB2312" w:hAnsi="仿宋_GB2312" w:cs="仿宋_GB2312" w:eastAsia="仿宋_GB2312"/>
                      <w:sz w:val="24"/>
                    </w:rPr>
                    <w:t>标</w:t>
                  </w:r>
                </w:p>
              </w:tc>
              <w:tc>
                <w:tcPr>
                  <w:tcW w:type="dxa" w:w="111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rFonts w:ascii="仿宋_GB2312" w:hAnsi="仿宋_GB2312" w:cs="仿宋_GB2312" w:eastAsia="仿宋_GB2312"/>
                      <w:sz w:val="24"/>
                    </w:rPr>
                    <w:t>说</w:t>
                  </w:r>
                  <w:r>
                    <w:rPr>
                      <w:rFonts w:ascii="仿宋_GB2312" w:hAnsi="仿宋_GB2312" w:cs="仿宋_GB2312" w:eastAsia="仿宋_GB2312"/>
                      <w:sz w:val="24"/>
                    </w:rPr>
                    <w:t>明</w:t>
                  </w:r>
                </w:p>
              </w:tc>
            </w:tr>
            <w:tr>
              <w:tc>
                <w:tcPr>
                  <w:tcW w:type="dxa" w:w="1005"/>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35"/>
                    <w:jc w:val="center"/>
                  </w:pPr>
                  <w:r>
                    <w:rPr>
                      <w:rFonts w:ascii="仿宋_GB2312" w:hAnsi="仿宋_GB2312" w:cs="仿宋_GB2312" w:eastAsia="仿宋_GB2312"/>
                      <w:sz w:val="24"/>
                    </w:rPr>
                    <w:t>a</w:t>
                  </w:r>
                </w:p>
                <w:p>
                  <w:pPr>
                    <w:pStyle w:val="null3"/>
                    <w:ind w:left="465"/>
                  </w:pPr>
                  <w:r>
                    <w:rPr>
                      <w:rFonts w:ascii="仿宋_GB2312" w:hAnsi="仿宋_GB2312" w:cs="仿宋_GB2312" w:eastAsia="仿宋_GB2312"/>
                      <w:sz w:val="24"/>
                    </w:rPr>
                    <w:t>黄曲霉毒素</w:t>
                  </w:r>
                  <w:r>
                    <w:rPr>
                      <w:rFonts w:ascii="仿宋_GB2312" w:hAnsi="仿宋_GB2312" w:cs="仿宋_GB2312" w:eastAsia="仿宋_GB2312"/>
                      <w:sz w:val="19"/>
                    </w:rPr>
                    <w:t xml:space="preserve"> </w:t>
                  </w:r>
                  <w:r>
                    <w:rPr>
                      <w:rFonts w:ascii="仿宋_GB2312" w:hAnsi="仿宋_GB2312" w:cs="仿宋_GB2312" w:eastAsia="仿宋_GB2312"/>
                      <w:sz w:val="24"/>
                    </w:rPr>
                    <w:t>M</w:t>
                  </w:r>
                  <w:r>
                    <w:rPr>
                      <w:rFonts w:ascii="仿宋_GB2312" w:hAnsi="仿宋_GB2312" w:cs="仿宋_GB2312" w:eastAsia="仿宋_GB2312"/>
                      <w:sz w:val="24"/>
                    </w:rPr>
                    <w:t>1</w:t>
                  </w:r>
                  <w:r>
                    <w:rPr>
                      <w:rFonts w:ascii="仿宋_GB2312" w:hAnsi="仿宋_GB2312" w:cs="仿宋_GB2312" w:eastAsia="仿宋_GB2312"/>
                      <w:sz w:val="24"/>
                    </w:rPr>
                    <w:t>(μg/kg)</w:t>
                  </w:r>
                </w:p>
              </w:tc>
              <w:tc>
                <w:tcPr>
                  <w:tcW w:type="dxa" w:w="43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60" w:right="645"/>
                    <w:jc w:val="center"/>
                  </w:pPr>
                  <w:r>
                    <w:rPr>
                      <w:rFonts w:ascii="仿宋_GB2312" w:hAnsi="仿宋_GB2312" w:cs="仿宋_GB2312" w:eastAsia="仿宋_GB2312"/>
                      <w:sz w:val="24"/>
                    </w:rPr>
                    <w:t>≤0.5</w:t>
                  </w:r>
                </w:p>
              </w:tc>
              <w:tc>
                <w:tcPr>
                  <w:tcW w:type="dxa" w:w="111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rFonts w:ascii="仿宋_GB2312" w:hAnsi="仿宋_GB2312" w:cs="仿宋_GB2312" w:eastAsia="仿宋_GB2312"/>
                      <w:sz w:val="24"/>
                    </w:rPr>
                    <w:t xml:space="preserve">a </w:t>
                  </w:r>
                  <w:r>
                    <w:rPr>
                      <w:rFonts w:ascii="仿宋_GB2312" w:hAnsi="仿宋_GB2312" w:cs="仿宋_GB2312" w:eastAsia="仿宋_GB2312"/>
                      <w:sz w:val="24"/>
                    </w:rPr>
                    <w:t>黄曲霉毒素</w:t>
                  </w:r>
                  <w:r>
                    <w:rPr>
                      <w:rFonts w:ascii="仿宋_GB2312" w:hAnsi="仿宋_GB2312" w:cs="仿宋_GB2312" w:eastAsia="仿宋_GB2312"/>
                      <w:sz w:val="24"/>
                    </w:rPr>
                    <w:t>M</w:t>
                  </w:r>
                  <w:r>
                    <w:rPr>
                      <w:rFonts w:ascii="仿宋_GB2312" w:hAnsi="仿宋_GB2312" w:cs="仿宋_GB2312" w:eastAsia="仿宋_GB2312"/>
                      <w:sz w:val="24"/>
                    </w:rPr>
                    <w:t xml:space="preserve"> </w:t>
                  </w:r>
                  <w:r>
                    <w:rPr>
                      <w:rFonts w:ascii="仿宋_GB2312" w:hAnsi="仿宋_GB2312" w:cs="仿宋_GB2312" w:eastAsia="仿宋_GB2312"/>
                      <w:sz w:val="24"/>
                    </w:rPr>
                    <w:t>只限于含乳类的产品。</w:t>
                  </w:r>
                </w:p>
                <w:p>
                  <w:pPr>
                    <w:pStyle w:val="null3"/>
                    <w:ind w:right="915"/>
                    <w:jc w:val="center"/>
                  </w:pPr>
                  <w:r>
                    <w:rPr>
                      <w:rFonts w:ascii="仿宋_GB2312" w:hAnsi="仿宋_GB2312" w:cs="仿宋_GB2312" w:eastAsia="仿宋_GB2312"/>
                      <w:sz w:val="24"/>
                    </w:rPr>
                    <w:t>1</w:t>
                  </w:r>
                </w:p>
                <w:p>
                  <w:pPr>
                    <w:pStyle w:val="null3"/>
                  </w:pPr>
                  <w:r>
                    <w:rPr>
                      <w:rFonts w:ascii="仿宋_GB2312" w:hAnsi="仿宋_GB2312" w:cs="仿宋_GB2312" w:eastAsia="仿宋_GB2312"/>
                      <w:sz w:val="24"/>
                    </w:rPr>
                    <w:t>b</w:t>
                  </w:r>
                  <w:r>
                    <w:rPr>
                      <w:rFonts w:ascii="仿宋_GB2312" w:hAnsi="仿宋_GB2312" w:cs="仿宋_GB2312" w:eastAsia="仿宋_GB2312"/>
                      <w:sz w:val="19"/>
                    </w:rPr>
                    <w:t xml:space="preserve"> </w:t>
                  </w:r>
                  <w:r>
                    <w:rPr>
                      <w:rFonts w:ascii="仿宋_GB2312" w:hAnsi="仿宋_GB2312" w:cs="仿宋_GB2312" w:eastAsia="仿宋_GB2312"/>
                      <w:sz w:val="24"/>
                    </w:rPr>
                    <w:t>黄曲霉毒素</w:t>
                  </w:r>
                  <w:r>
                    <w:rPr>
                      <w:rFonts w:ascii="仿宋_GB2312" w:hAnsi="仿宋_GB2312" w:cs="仿宋_GB2312" w:eastAsia="仿宋_GB2312"/>
                      <w:sz w:val="24"/>
                    </w:rPr>
                    <w:t>B</w:t>
                  </w:r>
                  <w:r>
                    <w:rPr>
                      <w:rFonts w:ascii="仿宋_GB2312" w:hAnsi="仿宋_GB2312" w:cs="仿宋_GB2312" w:eastAsia="仿宋_GB2312"/>
                      <w:sz w:val="24"/>
                    </w:rPr>
                    <w:t xml:space="preserve"> </w:t>
                  </w:r>
                  <w:r>
                    <w:rPr>
                      <w:rFonts w:ascii="仿宋_GB2312" w:hAnsi="仿宋_GB2312" w:cs="仿宋_GB2312" w:eastAsia="仿宋_GB2312"/>
                      <w:sz w:val="24"/>
                    </w:rPr>
                    <w:t>只限于含谷类、坚果和</w:t>
                  </w:r>
                </w:p>
                <w:p>
                  <w:pPr>
                    <w:pStyle w:val="null3"/>
                    <w:ind w:right="945"/>
                    <w:jc w:val="center"/>
                  </w:pPr>
                  <w:r>
                    <w:rPr>
                      <w:rFonts w:ascii="仿宋_GB2312" w:hAnsi="仿宋_GB2312" w:cs="仿宋_GB2312" w:eastAsia="仿宋_GB2312"/>
                      <w:sz w:val="24"/>
                    </w:rPr>
                    <w:t>1</w:t>
                  </w:r>
                </w:p>
                <w:p>
                  <w:pPr>
                    <w:pStyle w:val="null3"/>
                  </w:pPr>
                  <w:r>
                    <w:rPr>
                      <w:rFonts w:ascii="仿宋_GB2312" w:hAnsi="仿宋_GB2312" w:cs="仿宋_GB2312" w:eastAsia="仿宋_GB2312"/>
                      <w:sz w:val="24"/>
                    </w:rPr>
                    <w:t>豆类的产品。</w:t>
                  </w:r>
                </w:p>
              </w:tc>
            </w:tr>
            <w:tr>
              <w:tc>
                <w:tcPr>
                  <w:tcW w:type="dxa" w:w="1005"/>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15"/>
                    <w:jc w:val="center"/>
                  </w:pPr>
                  <w:r>
                    <w:rPr>
                      <w:rFonts w:ascii="仿宋_GB2312" w:hAnsi="仿宋_GB2312" w:cs="仿宋_GB2312" w:eastAsia="仿宋_GB2312"/>
                      <w:sz w:val="24"/>
                    </w:rPr>
                    <w:t>黄曲霉毒素</w:t>
                  </w:r>
                  <w:r>
                    <w:rPr>
                      <w:rFonts w:ascii="仿宋_GB2312" w:hAnsi="仿宋_GB2312" w:cs="仿宋_GB2312" w:eastAsia="仿宋_GB2312"/>
                      <w:sz w:val="24"/>
                    </w:rPr>
                    <w:t xml:space="preserve">B </w:t>
                  </w:r>
                  <w:r>
                    <w:rPr>
                      <w:rFonts w:ascii="仿宋_GB2312" w:hAnsi="仿宋_GB2312" w:cs="仿宋_GB2312" w:eastAsia="仿宋_GB2312"/>
                      <w:sz w:val="24"/>
                    </w:rPr>
                    <w:t xml:space="preserve">b </w:t>
                  </w:r>
                  <w:r>
                    <w:rPr>
                      <w:rFonts w:ascii="仿宋_GB2312" w:hAnsi="仿宋_GB2312" w:cs="仿宋_GB2312" w:eastAsia="仿宋_GB2312"/>
                      <w:sz w:val="24"/>
                    </w:rPr>
                    <w:t>(μg/kg)</w:t>
                  </w:r>
                </w:p>
                <w:p>
                  <w:pPr>
                    <w:pStyle w:val="null3"/>
                    <w:ind w:left="195"/>
                    <w:jc w:val="center"/>
                  </w:pPr>
                  <w:r>
                    <w:rPr>
                      <w:rFonts w:ascii="仿宋_GB2312" w:hAnsi="仿宋_GB2312" w:cs="仿宋_GB2312" w:eastAsia="仿宋_GB2312"/>
                      <w:sz w:val="24"/>
                    </w:rPr>
                    <w:t>1</w:t>
                  </w:r>
                </w:p>
              </w:tc>
              <w:tc>
                <w:tcPr>
                  <w:tcW w:type="dxa" w:w="43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≤0.5</w:t>
                  </w:r>
                </w:p>
              </w:tc>
            </w:tr>
            <w:tr>
              <w:tc>
                <w:tcPr>
                  <w:tcW w:type="dxa" w:w="2553"/>
                  <w:gridSpan w:val="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155" w:right="4140"/>
                    <w:jc w:val="center"/>
                  </w:pPr>
                  <w:r>
                    <w:rPr>
                      <w:rFonts w:ascii="仿宋_GB2312" w:hAnsi="仿宋_GB2312" w:cs="仿宋_GB2312" w:eastAsia="仿宋_GB2312"/>
                      <w:sz w:val="24"/>
                      <w:b/>
                    </w:rPr>
                    <w:t>微生物限量</w:t>
                  </w:r>
                </w:p>
              </w:tc>
            </w:tr>
            <w:tr>
              <w:tc>
                <w:tcPr>
                  <w:tcW w:type="dxa" w:w="40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项</w:t>
                  </w:r>
                  <w:r>
                    <w:rPr>
                      <w:rFonts w:ascii="仿宋_GB2312" w:hAnsi="仿宋_GB2312" w:cs="仿宋_GB2312" w:eastAsia="仿宋_GB2312"/>
                      <w:sz w:val="24"/>
                    </w:rPr>
                    <w:t>目</w:t>
                  </w:r>
                </w:p>
              </w:tc>
              <w:tc>
                <w:tcPr>
                  <w:tcW w:type="dxa" w:w="1040"/>
                  <w:gridSpan w:val="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25" w:right="225"/>
                    <w:jc w:val="center"/>
                  </w:pPr>
                  <w:r>
                    <w:rPr>
                      <w:rFonts w:ascii="仿宋_GB2312" w:hAnsi="仿宋_GB2312" w:cs="仿宋_GB2312" w:eastAsia="仿宋_GB2312"/>
                      <w:sz w:val="24"/>
                    </w:rPr>
                    <w:t>采样方案</w:t>
                  </w:r>
                  <w:r>
                    <w:rPr>
                      <w:rFonts w:ascii="仿宋_GB2312" w:hAnsi="仿宋_GB2312" w:cs="仿宋_GB2312" w:eastAsia="仿宋_GB2312"/>
                      <w:sz w:val="24"/>
                    </w:rPr>
                    <w:t xml:space="preserve">a </w:t>
                  </w:r>
                  <w:r>
                    <w:rPr>
                      <w:rFonts w:ascii="仿宋_GB2312" w:hAnsi="仿宋_GB2312" w:cs="仿宋_GB2312" w:eastAsia="仿宋_GB2312"/>
                      <w:sz w:val="24"/>
                    </w:rPr>
                    <w:t>及限量</w:t>
                  </w:r>
                </w:p>
                <w:p>
                  <w:pPr>
                    <w:pStyle w:val="null3"/>
                    <w:spacing w:before="165"/>
                    <w:ind w:left="225" w:right="225"/>
                    <w:jc w:val="center"/>
                  </w:pPr>
                  <w:r>
                    <w:rPr>
                      <w:rFonts w:ascii="仿宋_GB2312" w:hAnsi="仿宋_GB2312" w:cs="仿宋_GB2312" w:eastAsia="仿宋_GB2312"/>
                      <w:sz w:val="24"/>
                    </w:rPr>
                    <w:t>（若非指定，均以</w:t>
                  </w:r>
                  <w:r>
                    <w:rPr>
                      <w:rFonts w:ascii="仿宋_GB2312" w:hAnsi="仿宋_GB2312" w:cs="仿宋_GB2312" w:eastAsia="仿宋_GB2312"/>
                      <w:sz w:val="24"/>
                    </w:rPr>
                    <w:t>CFU/g 表示）</w:t>
                  </w:r>
                </w:p>
              </w:tc>
              <w:tc>
                <w:tcPr>
                  <w:tcW w:type="dxa" w:w="111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说</w:t>
                  </w:r>
                  <w:r>
                    <w:rPr>
                      <w:rFonts w:ascii="仿宋_GB2312" w:hAnsi="仿宋_GB2312" w:cs="仿宋_GB2312" w:eastAsia="仿宋_GB2312"/>
                      <w:sz w:val="24"/>
                    </w:rPr>
                    <w:t>明</w:t>
                  </w:r>
                </w:p>
              </w:tc>
            </w:tr>
            <w:tr>
              <w:tc>
                <w:tcPr>
                  <w:tcW w:type="dxa" w:w="403"/>
                  <w:vMerge/>
                  <w:tcBorders>
                    <w:top w:val="none" w:color="000000" w:sz="4"/>
                    <w:left w:val="single" w:color="000000" w:sz="4"/>
                    <w:bottom w:val="single" w:color="000000" w:sz="4"/>
                    <w:right w:val="single" w:color="000000" w:sz="4"/>
                  </w:tcBorders>
                </w:tcPr>
                <w:p/>
              </w:tc>
              <w:tc>
                <w:tcPr>
                  <w:tcW w:type="dxa" w:w="2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n</w:t>
                  </w:r>
                </w:p>
              </w:tc>
              <w:tc>
                <w:tcPr>
                  <w:tcW w:type="dxa" w:w="2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210"/>
                    <w:jc w:val="right"/>
                  </w:pPr>
                  <w:r>
                    <w:rPr>
                      <w:rFonts w:ascii="仿宋_GB2312" w:hAnsi="仿宋_GB2312" w:cs="仿宋_GB2312" w:eastAsia="仿宋_GB2312"/>
                      <w:sz w:val="24"/>
                    </w:rPr>
                    <w:t>c</w:t>
                  </w:r>
                </w:p>
              </w:tc>
              <w:tc>
                <w:tcPr>
                  <w:tcW w:type="dxa" w:w="274"/>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rFonts w:ascii="仿宋_GB2312" w:hAnsi="仿宋_GB2312" w:cs="仿宋_GB2312" w:eastAsia="仿宋_GB2312"/>
                      <w:sz w:val="24"/>
                    </w:rPr>
                    <w:t>m</w:t>
                  </w:r>
                </w:p>
              </w:tc>
              <w:tc>
                <w:tcPr>
                  <w:tcW w:type="dxa" w:w="30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rFonts w:ascii="仿宋_GB2312" w:hAnsi="仿宋_GB2312" w:cs="仿宋_GB2312" w:eastAsia="仿宋_GB2312"/>
                      <w:sz w:val="24"/>
                    </w:rPr>
                    <w:t>M</w:t>
                  </w:r>
                </w:p>
              </w:tc>
              <w:tc>
                <w:tcPr>
                  <w:tcW w:type="dxa" w:w="1110"/>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a</w:t>
                  </w:r>
                  <w:r>
                    <w:rPr>
                      <w:rFonts w:ascii="仿宋_GB2312" w:hAnsi="仿宋_GB2312" w:cs="仿宋_GB2312" w:eastAsia="仿宋_GB2312"/>
                      <w:sz w:val="19"/>
                    </w:rPr>
                    <w:t xml:space="preserve"> </w:t>
                  </w:r>
                  <w:r>
                    <w:rPr>
                      <w:rFonts w:ascii="仿宋_GB2312" w:hAnsi="仿宋_GB2312" w:cs="仿宋_GB2312" w:eastAsia="仿宋_GB2312"/>
                      <w:sz w:val="24"/>
                    </w:rPr>
                    <w:t>样品的分析及处理按</w:t>
                  </w:r>
                  <w:r>
                    <w:rPr>
                      <w:rFonts w:ascii="仿宋_GB2312" w:hAnsi="仿宋_GB2312" w:cs="仿宋_GB2312" w:eastAsia="仿宋_GB2312"/>
                      <w:sz w:val="24"/>
                    </w:rPr>
                    <w:t>GB</w:t>
                  </w:r>
                  <w:r>
                    <w:rPr>
                      <w:rFonts w:ascii="仿宋_GB2312" w:hAnsi="仿宋_GB2312" w:cs="仿宋_GB2312" w:eastAsia="仿宋_GB2312"/>
                      <w:sz w:val="19"/>
                    </w:rPr>
                    <w:t xml:space="preserve"> </w:t>
                  </w:r>
                  <w:r>
                    <w:rPr>
                      <w:rFonts w:ascii="仿宋_GB2312" w:hAnsi="仿宋_GB2312" w:cs="仿宋_GB2312" w:eastAsia="仿宋_GB2312"/>
                      <w:sz w:val="24"/>
                    </w:rPr>
                    <w:t>4789.1</w:t>
                  </w:r>
                  <w:r>
                    <w:rPr>
                      <w:rFonts w:ascii="仿宋_GB2312" w:hAnsi="仿宋_GB2312" w:cs="仿宋_GB2312" w:eastAsia="仿宋_GB2312"/>
                      <w:sz w:val="24"/>
                    </w:rPr>
                    <w:t xml:space="preserve"> </w:t>
                  </w:r>
                  <w:r>
                    <w:rPr>
                      <w:rFonts w:ascii="仿宋_GB2312" w:hAnsi="仿宋_GB2312" w:cs="仿宋_GB2312" w:eastAsia="仿宋_GB2312"/>
                      <w:sz w:val="24"/>
                    </w:rPr>
                    <w:t>执行。</w:t>
                  </w:r>
                </w:p>
              </w:tc>
            </w:tr>
            <w:tr>
              <w:tc>
                <w:tcPr>
                  <w:tcW w:type="dxa" w:w="4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285"/>
                    <w:jc w:val="right"/>
                  </w:pPr>
                  <w:r>
                    <w:rPr>
                      <w:rFonts w:ascii="仿宋_GB2312" w:hAnsi="仿宋_GB2312" w:cs="仿宋_GB2312" w:eastAsia="仿宋_GB2312"/>
                      <w:sz w:val="24"/>
                    </w:rPr>
                    <w:t>菌落总数</w:t>
                  </w:r>
                </w:p>
              </w:tc>
              <w:tc>
                <w:tcPr>
                  <w:tcW w:type="dxa" w:w="2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w:t>
                  </w:r>
                </w:p>
              </w:tc>
              <w:tc>
                <w:tcPr>
                  <w:tcW w:type="dxa" w:w="2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210"/>
                    <w:jc w:val="right"/>
                  </w:pPr>
                  <w:r>
                    <w:rPr>
                      <w:rFonts w:ascii="仿宋_GB2312" w:hAnsi="仿宋_GB2312" w:cs="仿宋_GB2312" w:eastAsia="仿宋_GB2312"/>
                      <w:sz w:val="24"/>
                    </w:rPr>
                    <w:t>2</w:t>
                  </w:r>
                </w:p>
              </w:tc>
              <w:tc>
                <w:tcPr>
                  <w:tcW w:type="dxa" w:w="27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pPr>
                  <w:r>
                    <w:rPr>
                      <w:rFonts w:ascii="仿宋_GB2312" w:hAnsi="仿宋_GB2312" w:cs="仿宋_GB2312" w:eastAsia="仿宋_GB2312"/>
                      <w:sz w:val="24"/>
                    </w:rPr>
                    <w:t>1000</w:t>
                  </w:r>
                </w:p>
              </w:tc>
              <w:tc>
                <w:tcPr>
                  <w:tcW w:type="dxa" w:w="3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55" w:right="255"/>
                    <w:jc w:val="center"/>
                  </w:pPr>
                  <w:r>
                    <w:rPr>
                      <w:rFonts w:ascii="仿宋_GB2312" w:hAnsi="仿宋_GB2312" w:cs="仿宋_GB2312" w:eastAsia="仿宋_GB2312"/>
                      <w:sz w:val="24"/>
                    </w:rPr>
                    <w:t>10000</w:t>
                  </w:r>
                </w:p>
              </w:tc>
            </w:tr>
            <w:tr>
              <w:tc>
                <w:tcPr>
                  <w:tcW w:type="dxa" w:w="4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285"/>
                    <w:jc w:val="right"/>
                  </w:pPr>
                  <w:r>
                    <w:rPr>
                      <w:rFonts w:ascii="仿宋_GB2312" w:hAnsi="仿宋_GB2312" w:cs="仿宋_GB2312" w:eastAsia="仿宋_GB2312"/>
                      <w:sz w:val="24"/>
                    </w:rPr>
                    <w:t>大肠菌群</w:t>
                  </w:r>
                </w:p>
              </w:tc>
              <w:tc>
                <w:tcPr>
                  <w:tcW w:type="dxa" w:w="2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w:t>
                  </w:r>
                </w:p>
              </w:tc>
              <w:tc>
                <w:tcPr>
                  <w:tcW w:type="dxa" w:w="2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210"/>
                    <w:jc w:val="right"/>
                  </w:pPr>
                  <w:r>
                    <w:rPr>
                      <w:rFonts w:ascii="仿宋_GB2312" w:hAnsi="仿宋_GB2312" w:cs="仿宋_GB2312" w:eastAsia="仿宋_GB2312"/>
                      <w:sz w:val="24"/>
                    </w:rPr>
                    <w:t>2</w:t>
                  </w:r>
                </w:p>
              </w:tc>
              <w:tc>
                <w:tcPr>
                  <w:tcW w:type="dxa" w:w="27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75" w:right="360"/>
                    <w:jc w:val="center"/>
                  </w:pPr>
                  <w:r>
                    <w:rPr>
                      <w:rFonts w:ascii="仿宋_GB2312" w:hAnsi="仿宋_GB2312" w:cs="仿宋_GB2312" w:eastAsia="仿宋_GB2312"/>
                      <w:sz w:val="24"/>
                    </w:rPr>
                    <w:t>10</w:t>
                  </w:r>
                </w:p>
              </w:tc>
              <w:tc>
                <w:tcPr>
                  <w:tcW w:type="dxa" w:w="3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55" w:right="255"/>
                    <w:jc w:val="center"/>
                  </w:pPr>
                  <w:r>
                    <w:rPr>
                      <w:rFonts w:ascii="仿宋_GB2312" w:hAnsi="仿宋_GB2312" w:cs="仿宋_GB2312" w:eastAsia="仿宋_GB2312"/>
                      <w:sz w:val="24"/>
                    </w:rPr>
                    <w:t>100</w:t>
                  </w:r>
                </w:p>
              </w:tc>
            </w:tr>
            <w:tr>
              <w:tc>
                <w:tcPr>
                  <w:tcW w:type="dxa" w:w="4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285"/>
                    <w:jc w:val="right"/>
                  </w:pPr>
                  <w:r>
                    <w:rPr>
                      <w:rFonts w:ascii="仿宋_GB2312" w:hAnsi="仿宋_GB2312" w:cs="仿宋_GB2312" w:eastAsia="仿宋_GB2312"/>
                      <w:sz w:val="24"/>
                    </w:rPr>
                    <w:t>沙门氏菌</w:t>
                  </w:r>
                </w:p>
              </w:tc>
              <w:tc>
                <w:tcPr>
                  <w:tcW w:type="dxa" w:w="2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w:t>
                  </w:r>
                </w:p>
              </w:tc>
              <w:tc>
                <w:tcPr>
                  <w:tcW w:type="dxa" w:w="2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210"/>
                    <w:jc w:val="right"/>
                  </w:pPr>
                  <w:r>
                    <w:rPr>
                      <w:rFonts w:ascii="仿宋_GB2312" w:hAnsi="仿宋_GB2312" w:cs="仿宋_GB2312" w:eastAsia="仿宋_GB2312"/>
                      <w:sz w:val="24"/>
                    </w:rPr>
                    <w:t>0</w:t>
                  </w:r>
                </w:p>
              </w:tc>
              <w:tc>
                <w:tcPr>
                  <w:tcW w:type="dxa" w:w="27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pPr>
                  <w:r>
                    <w:rPr>
                      <w:rFonts w:ascii="仿宋_GB2312" w:hAnsi="仿宋_GB2312" w:cs="仿宋_GB2312" w:eastAsia="仿宋_GB2312"/>
                      <w:sz w:val="24"/>
                    </w:rPr>
                    <w:t>0/25g</w:t>
                  </w:r>
                </w:p>
              </w:tc>
              <w:tc>
                <w:tcPr>
                  <w:tcW w:type="dxa" w:w="3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rFonts w:ascii="仿宋_GB2312" w:hAnsi="仿宋_GB2312" w:cs="仿宋_GB2312" w:eastAsia="仿宋_GB2312"/>
                      <w:sz w:val="24"/>
                    </w:rPr>
                    <w:t>—</w:t>
                  </w:r>
                </w:p>
              </w:tc>
            </w:tr>
            <w:tr>
              <w:tc>
                <w:tcPr>
                  <w:tcW w:type="dxa" w:w="2553"/>
                  <w:gridSpan w:val="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155" w:right="3660"/>
                    <w:jc w:val="center"/>
                  </w:pPr>
                  <w:r>
                    <w:rPr>
                      <w:rFonts w:ascii="仿宋_GB2312" w:hAnsi="仿宋_GB2312" w:cs="仿宋_GB2312" w:eastAsia="仿宋_GB2312"/>
                      <w:sz w:val="24"/>
                      <w:b/>
                    </w:rPr>
                    <w:t>脲酶活性</w:t>
                  </w:r>
                </w:p>
              </w:tc>
            </w:tr>
            <w:tr>
              <w:tc>
                <w:tcPr>
                  <w:tcW w:type="dxa" w:w="1005"/>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rFonts w:ascii="仿宋_GB2312" w:hAnsi="仿宋_GB2312" w:cs="仿宋_GB2312" w:eastAsia="仿宋_GB2312"/>
                      <w:sz w:val="24"/>
                    </w:rPr>
                    <w:t>项</w:t>
                  </w:r>
                  <w:r>
                    <w:rPr>
                      <w:rFonts w:ascii="仿宋_GB2312" w:hAnsi="仿宋_GB2312" w:cs="仿宋_GB2312" w:eastAsia="仿宋_GB2312"/>
                      <w:sz w:val="24"/>
                    </w:rPr>
                    <w:t>目</w:t>
                  </w:r>
                </w:p>
              </w:tc>
              <w:tc>
                <w:tcPr>
                  <w:tcW w:type="dxa" w:w="438"/>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555"/>
                  </w:pPr>
                  <w:r>
                    <w:rPr>
                      <w:rFonts w:ascii="仿宋_GB2312" w:hAnsi="仿宋_GB2312" w:cs="仿宋_GB2312" w:eastAsia="仿宋_GB2312"/>
                      <w:sz w:val="24"/>
                    </w:rPr>
                    <w:t>指</w:t>
                  </w:r>
                  <w:r>
                    <w:rPr>
                      <w:rFonts w:ascii="仿宋_GB2312" w:hAnsi="仿宋_GB2312" w:cs="仿宋_GB2312" w:eastAsia="仿宋_GB2312"/>
                      <w:sz w:val="24"/>
                    </w:rPr>
                    <w:t>标</w:t>
                  </w:r>
                </w:p>
              </w:tc>
              <w:tc>
                <w:tcPr>
                  <w:tcW w:type="dxa" w:w="111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rFonts w:ascii="仿宋_GB2312" w:hAnsi="仿宋_GB2312" w:cs="仿宋_GB2312" w:eastAsia="仿宋_GB2312"/>
                      <w:sz w:val="24"/>
                    </w:rPr>
                    <w:t>说</w:t>
                  </w:r>
                  <w:r>
                    <w:rPr>
                      <w:rFonts w:ascii="仿宋_GB2312" w:hAnsi="仿宋_GB2312" w:cs="仿宋_GB2312" w:eastAsia="仿宋_GB2312"/>
                      <w:sz w:val="24"/>
                    </w:rPr>
                    <w:t>明</w:t>
                  </w:r>
                </w:p>
              </w:tc>
            </w:tr>
            <w:tr>
              <w:tc>
                <w:tcPr>
                  <w:tcW w:type="dxa" w:w="1005"/>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65"/>
                  </w:pPr>
                  <w:r>
                    <w:rPr>
                      <w:rFonts w:ascii="仿宋_GB2312" w:hAnsi="仿宋_GB2312" w:cs="仿宋_GB2312" w:eastAsia="仿宋_GB2312"/>
                      <w:sz w:val="24"/>
                    </w:rPr>
                    <w:t>脲酶活性定性</w:t>
                  </w:r>
                </w:p>
              </w:tc>
              <w:tc>
                <w:tcPr>
                  <w:tcW w:type="dxa" w:w="43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555"/>
                  </w:pPr>
                  <w:r>
                    <w:rPr>
                      <w:rFonts w:ascii="仿宋_GB2312" w:hAnsi="仿宋_GB2312" w:cs="仿宋_GB2312" w:eastAsia="仿宋_GB2312"/>
                      <w:sz w:val="24"/>
                    </w:rPr>
                    <w:t>阴</w:t>
                  </w:r>
                  <w:r>
                    <w:rPr>
                      <w:rFonts w:ascii="仿宋_GB2312" w:hAnsi="仿宋_GB2312" w:cs="仿宋_GB2312" w:eastAsia="仿宋_GB2312"/>
                      <w:sz w:val="24"/>
                    </w:rPr>
                    <w:t>性</w:t>
                  </w:r>
                </w:p>
              </w:tc>
              <w:tc>
                <w:tcPr>
                  <w:tcW w:type="dxa" w:w="11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rFonts w:ascii="仿宋_GB2312" w:hAnsi="仿宋_GB2312" w:cs="仿宋_GB2312" w:eastAsia="仿宋_GB2312"/>
                      <w:sz w:val="24"/>
                    </w:rPr>
                    <w:t>-</w:t>
                  </w:r>
                </w:p>
              </w:tc>
            </w:tr>
          </w:tbl>
          <w:p>
            <w:pPr>
              <w:pStyle w:val="null3"/>
              <w:ind w:firstLine="640"/>
              <w:jc w:val="both"/>
            </w:pPr>
            <w:r>
              <w:rPr>
                <w:rFonts w:ascii="仿宋_GB2312" w:hAnsi="仿宋_GB2312" w:cs="仿宋_GB2312" w:eastAsia="仿宋_GB2312"/>
                <w:sz w:val="32"/>
              </w:rPr>
              <w:t>（二）项目营养包配料要求</w:t>
            </w:r>
          </w:p>
          <w:p>
            <w:pPr>
              <w:pStyle w:val="null3"/>
              <w:ind w:firstLine="640"/>
              <w:jc w:val="both"/>
            </w:pPr>
            <w:r>
              <w:rPr>
                <w:rFonts w:ascii="仿宋_GB2312" w:hAnsi="仿宋_GB2312" w:cs="仿宋_GB2312" w:eastAsia="仿宋_GB2312"/>
                <w:sz w:val="32"/>
              </w:rPr>
              <w:t>1.食物基质：应选用非转基因食品原料。每袋营养包中应含 I 类速溶豆粉至少 8.4 克，其质量须符合《速溶豆粉和豆奶粉》（GB/T 18738-2006）标准中的 I 类速溶豆粉要求及相应的食品安全标准。I 类速溶豆粉应作为营养包中大豆蛋白的全部来源。</w:t>
            </w:r>
          </w:p>
          <w:p>
            <w:pPr>
              <w:pStyle w:val="null3"/>
              <w:ind w:firstLine="640"/>
              <w:jc w:val="both"/>
            </w:pPr>
            <w:r>
              <w:rPr>
                <w:rFonts w:ascii="仿宋_GB2312" w:hAnsi="仿宋_GB2312" w:cs="仿宋_GB2312" w:eastAsia="仿宋_GB2312"/>
                <w:sz w:val="32"/>
              </w:rPr>
              <w:t>2.维生素及矿物质</w:t>
            </w:r>
          </w:p>
          <w:tbl>
            <w:tblPr>
              <w:tblBorders>
                <w:top w:val="none" w:color="000000" w:sz="4"/>
                <w:left w:val="none" w:color="000000" w:sz="4"/>
                <w:bottom w:val="none" w:color="000000" w:sz="4"/>
                <w:right w:val="none" w:color="000000" w:sz="4"/>
                <w:insideH w:val="none"/>
                <w:insideV w:val="none"/>
              </w:tblBorders>
            </w:tblPr>
            <w:tblGrid>
              <w:gridCol w:w="448"/>
              <w:gridCol w:w="2100"/>
            </w:tblGrid>
            <w:tr>
              <w:tc>
                <w:tcPr>
                  <w:tcW w:type="dxa" w:w="4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85" w:right="270"/>
                    <w:jc w:val="center"/>
                  </w:pPr>
                  <w:r>
                    <w:rPr>
                      <w:rFonts w:ascii="仿宋_GB2312" w:hAnsi="仿宋_GB2312" w:cs="仿宋_GB2312" w:eastAsia="仿宋_GB2312"/>
                      <w:sz w:val="28"/>
                      <w:b/>
                    </w:rPr>
                    <w:t>营养素</w:t>
                  </w:r>
                </w:p>
              </w:tc>
              <w:tc>
                <w:tcPr>
                  <w:tcW w:type="dxa" w:w="210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350" w:right="1335"/>
                    <w:jc w:val="center"/>
                  </w:pPr>
                  <w:r>
                    <w:rPr>
                      <w:rFonts w:ascii="仿宋_GB2312" w:hAnsi="仿宋_GB2312" w:cs="仿宋_GB2312" w:eastAsia="仿宋_GB2312"/>
                      <w:sz w:val="28"/>
                      <w:b/>
                    </w:rPr>
                    <w:t>营养强化剂</w:t>
                  </w:r>
                </w:p>
              </w:tc>
            </w:tr>
            <w:tr>
              <w:tc>
                <w:tcPr>
                  <w:tcW w:type="dxa" w:w="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285" w:right="270"/>
                    <w:jc w:val="center"/>
                  </w:pPr>
                  <w:r>
                    <w:rPr>
                      <w:rFonts w:ascii="仿宋_GB2312" w:hAnsi="仿宋_GB2312" w:cs="仿宋_GB2312" w:eastAsia="仿宋_GB2312"/>
                      <w:sz w:val="28"/>
                    </w:rPr>
                    <w:t>维生素</w:t>
                  </w:r>
                  <w:r>
                    <w:rPr>
                      <w:rFonts w:ascii="仿宋_GB2312" w:hAnsi="仿宋_GB2312" w:cs="仿宋_GB2312" w:eastAsia="仿宋_GB2312"/>
                      <w:sz w:val="28"/>
                    </w:rPr>
                    <w:t>A</w:t>
                  </w:r>
                </w:p>
              </w:tc>
              <w:tc>
                <w:tcPr>
                  <w:tcW w:type="dxa" w:w="21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350" w:right="1335"/>
                    <w:jc w:val="center"/>
                  </w:pPr>
                  <w:r>
                    <w:rPr>
                      <w:rFonts w:ascii="仿宋_GB2312" w:hAnsi="仿宋_GB2312" w:cs="仿宋_GB2312" w:eastAsia="仿宋_GB2312"/>
                      <w:sz w:val="28"/>
                    </w:rPr>
                    <w:t>微囊化冷水分散型粉末</w:t>
                  </w:r>
                </w:p>
              </w:tc>
            </w:tr>
            <w:tr>
              <w:tc>
                <w:tcPr>
                  <w:tcW w:type="dxa" w:w="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285" w:right="270"/>
                    <w:jc w:val="center"/>
                  </w:pPr>
                  <w:r>
                    <w:rPr>
                      <w:rFonts w:ascii="仿宋_GB2312" w:hAnsi="仿宋_GB2312" w:cs="仿宋_GB2312" w:eastAsia="仿宋_GB2312"/>
                      <w:sz w:val="28"/>
                    </w:rPr>
                    <w:t>维生素</w:t>
                  </w:r>
                  <w:r>
                    <w:rPr>
                      <w:rFonts w:ascii="仿宋_GB2312" w:hAnsi="仿宋_GB2312" w:cs="仿宋_GB2312" w:eastAsia="仿宋_GB2312"/>
                      <w:sz w:val="28"/>
                    </w:rPr>
                    <w:t>D</w:t>
                  </w:r>
                </w:p>
              </w:tc>
              <w:tc>
                <w:tcPr>
                  <w:tcW w:type="dxa" w:w="21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350" w:right="1335"/>
                    <w:jc w:val="center"/>
                  </w:pPr>
                  <w:r>
                    <w:rPr>
                      <w:rFonts w:ascii="仿宋_GB2312" w:hAnsi="仿宋_GB2312" w:cs="仿宋_GB2312" w:eastAsia="仿宋_GB2312"/>
                      <w:sz w:val="28"/>
                    </w:rPr>
                    <w:t>维生素</w:t>
                  </w:r>
                  <w:r>
                    <w:rPr>
                      <w:rFonts w:ascii="仿宋_GB2312" w:hAnsi="仿宋_GB2312" w:cs="仿宋_GB2312" w:eastAsia="仿宋_GB2312"/>
                      <w:sz w:val="28"/>
                    </w:rPr>
                    <w:t>D</w:t>
                  </w:r>
                  <w:r>
                    <w:rPr>
                      <w:rFonts w:ascii="仿宋_GB2312" w:hAnsi="仿宋_GB2312" w:cs="仿宋_GB2312" w:eastAsia="仿宋_GB2312"/>
                      <w:sz w:val="28"/>
                    </w:rPr>
                    <w:t xml:space="preserve">3 </w:t>
                  </w:r>
                  <w:r>
                    <w:rPr>
                      <w:rFonts w:ascii="仿宋_GB2312" w:hAnsi="仿宋_GB2312" w:cs="仿宋_GB2312" w:eastAsia="仿宋_GB2312"/>
                      <w:sz w:val="28"/>
                    </w:rPr>
                    <w:t>的微囊化冷水分散型粉末</w:t>
                  </w:r>
                </w:p>
              </w:tc>
            </w:tr>
            <w:tr>
              <w:tc>
                <w:tcPr>
                  <w:tcW w:type="dxa" w:w="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right="270"/>
                    <w:jc w:val="center"/>
                  </w:pPr>
                  <w:r>
                    <w:rPr>
                      <w:rFonts w:ascii="仿宋_GB2312" w:hAnsi="仿宋_GB2312" w:cs="仿宋_GB2312" w:eastAsia="仿宋_GB2312"/>
                      <w:sz w:val="28"/>
                    </w:rPr>
                    <w:t>维生素</w:t>
                  </w:r>
                  <w:r>
                    <w:rPr>
                      <w:rFonts w:ascii="仿宋_GB2312" w:hAnsi="仿宋_GB2312" w:cs="仿宋_GB2312" w:eastAsia="仿宋_GB2312"/>
                      <w:sz w:val="28"/>
                    </w:rPr>
                    <w:t>B</w:t>
                  </w:r>
                  <w:r>
                    <w:rPr>
                      <w:rFonts w:ascii="仿宋_GB2312" w:hAnsi="仿宋_GB2312" w:cs="仿宋_GB2312" w:eastAsia="仿宋_GB2312"/>
                      <w:sz w:val="28"/>
                    </w:rPr>
                    <w:t>1</w:t>
                  </w:r>
                </w:p>
              </w:tc>
              <w:tc>
                <w:tcPr>
                  <w:tcW w:type="dxa" w:w="21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350" w:right="1335"/>
                    <w:jc w:val="center"/>
                  </w:pPr>
                  <w:r>
                    <w:rPr>
                      <w:rFonts w:ascii="仿宋_GB2312" w:hAnsi="仿宋_GB2312" w:cs="仿宋_GB2312" w:eastAsia="仿宋_GB2312"/>
                      <w:sz w:val="28"/>
                    </w:rPr>
                    <w:t>硝酸硫胺素或盐酸硫胺素</w:t>
                  </w:r>
                </w:p>
              </w:tc>
            </w:tr>
            <w:tr>
              <w:tc>
                <w:tcPr>
                  <w:tcW w:type="dxa" w:w="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right="270"/>
                    <w:jc w:val="center"/>
                  </w:pPr>
                  <w:r>
                    <w:rPr>
                      <w:rFonts w:ascii="仿宋_GB2312" w:hAnsi="仿宋_GB2312" w:cs="仿宋_GB2312" w:eastAsia="仿宋_GB2312"/>
                      <w:sz w:val="28"/>
                    </w:rPr>
                    <w:t>维生素</w:t>
                  </w:r>
                  <w:r>
                    <w:rPr>
                      <w:rFonts w:ascii="仿宋_GB2312" w:hAnsi="仿宋_GB2312" w:cs="仿宋_GB2312" w:eastAsia="仿宋_GB2312"/>
                      <w:sz w:val="28"/>
                    </w:rPr>
                    <w:t>B</w:t>
                  </w:r>
                  <w:r>
                    <w:rPr>
                      <w:rFonts w:ascii="仿宋_GB2312" w:hAnsi="仿宋_GB2312" w:cs="仿宋_GB2312" w:eastAsia="仿宋_GB2312"/>
                      <w:sz w:val="28"/>
                    </w:rPr>
                    <w:t>2</w:t>
                  </w:r>
                </w:p>
              </w:tc>
              <w:tc>
                <w:tcPr>
                  <w:tcW w:type="dxa" w:w="21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350" w:right="1335"/>
                    <w:jc w:val="center"/>
                  </w:pPr>
                  <w:r>
                    <w:rPr>
                      <w:rFonts w:ascii="仿宋_GB2312" w:hAnsi="仿宋_GB2312" w:cs="仿宋_GB2312" w:eastAsia="仿宋_GB2312"/>
                      <w:sz w:val="28"/>
                    </w:rPr>
                    <w:t>核黄素</w:t>
                  </w:r>
                </w:p>
              </w:tc>
            </w:tr>
            <w:tr>
              <w:tc>
                <w:tcPr>
                  <w:tcW w:type="dxa" w:w="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right="270"/>
                    <w:jc w:val="center"/>
                  </w:pPr>
                  <w:r>
                    <w:rPr>
                      <w:rFonts w:ascii="仿宋_GB2312" w:hAnsi="仿宋_GB2312" w:cs="仿宋_GB2312" w:eastAsia="仿宋_GB2312"/>
                      <w:sz w:val="28"/>
                    </w:rPr>
                    <w:t>维生素</w:t>
                  </w:r>
                  <w:r>
                    <w:rPr>
                      <w:rFonts w:ascii="仿宋_GB2312" w:hAnsi="仿宋_GB2312" w:cs="仿宋_GB2312" w:eastAsia="仿宋_GB2312"/>
                      <w:sz w:val="28"/>
                    </w:rPr>
                    <w:t>B</w:t>
                  </w:r>
                  <w:r>
                    <w:rPr>
                      <w:rFonts w:ascii="仿宋_GB2312" w:hAnsi="仿宋_GB2312" w:cs="仿宋_GB2312" w:eastAsia="仿宋_GB2312"/>
                      <w:sz w:val="28"/>
                    </w:rPr>
                    <w:t>12</w:t>
                  </w:r>
                </w:p>
              </w:tc>
              <w:tc>
                <w:tcPr>
                  <w:tcW w:type="dxa" w:w="21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350" w:right="1335"/>
                    <w:jc w:val="center"/>
                  </w:pPr>
                  <w:r>
                    <w:rPr>
                      <w:rFonts w:ascii="仿宋_GB2312" w:hAnsi="仿宋_GB2312" w:cs="仿宋_GB2312" w:eastAsia="仿宋_GB2312"/>
                      <w:sz w:val="28"/>
                    </w:rPr>
                    <w:t>氰钴胺素</w:t>
                  </w:r>
                </w:p>
              </w:tc>
            </w:tr>
            <w:tr>
              <w:tc>
                <w:tcPr>
                  <w:tcW w:type="dxa" w:w="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285" w:right="270"/>
                    <w:jc w:val="center"/>
                  </w:pPr>
                  <w:r>
                    <w:rPr>
                      <w:rFonts w:ascii="仿宋_GB2312" w:hAnsi="仿宋_GB2312" w:cs="仿宋_GB2312" w:eastAsia="仿宋_GB2312"/>
                      <w:sz w:val="28"/>
                    </w:rPr>
                    <w:t>叶酸</w:t>
                  </w:r>
                </w:p>
              </w:tc>
              <w:tc>
                <w:tcPr>
                  <w:tcW w:type="dxa" w:w="21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350" w:right="1335"/>
                    <w:jc w:val="center"/>
                  </w:pPr>
                  <w:r>
                    <w:rPr>
                      <w:rFonts w:ascii="仿宋_GB2312" w:hAnsi="仿宋_GB2312" w:cs="仿宋_GB2312" w:eastAsia="仿宋_GB2312"/>
                      <w:sz w:val="28"/>
                    </w:rPr>
                    <w:t>叶酸</w:t>
                  </w:r>
                </w:p>
              </w:tc>
            </w:tr>
            <w:tr>
              <w:tc>
                <w:tcPr>
                  <w:tcW w:type="dxa" w:w="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5"/>
                    <w:jc w:val="center"/>
                  </w:pPr>
                  <w:r>
                    <w:rPr>
                      <w:rFonts w:ascii="仿宋_GB2312" w:hAnsi="仿宋_GB2312" w:cs="仿宋_GB2312" w:eastAsia="仿宋_GB2312"/>
                      <w:sz w:val="28"/>
                    </w:rPr>
                    <w:t>钙</w:t>
                  </w:r>
                </w:p>
              </w:tc>
              <w:tc>
                <w:tcPr>
                  <w:tcW w:type="dxa" w:w="21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350" w:right="1335"/>
                    <w:jc w:val="center"/>
                  </w:pPr>
                  <w:r>
                    <w:rPr>
                      <w:rFonts w:ascii="仿宋_GB2312" w:hAnsi="仿宋_GB2312" w:cs="仿宋_GB2312" w:eastAsia="仿宋_GB2312"/>
                      <w:sz w:val="28"/>
                    </w:rPr>
                    <w:t>碳酸钙</w:t>
                  </w:r>
                  <w:r>
                    <w:rPr>
                      <w:rFonts w:ascii="仿宋_GB2312" w:hAnsi="仿宋_GB2312" w:cs="仿宋_GB2312" w:eastAsia="仿宋_GB2312"/>
                      <w:sz w:val="28"/>
                    </w:rPr>
                    <w:t>*</w:t>
                  </w:r>
                </w:p>
              </w:tc>
            </w:tr>
            <w:tr>
              <w:tc>
                <w:tcPr>
                  <w:tcW w:type="dxa" w:w="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840"/>
                    <w:jc w:val="both"/>
                  </w:pPr>
                  <w:r>
                    <w:rPr>
                      <w:rFonts w:ascii="仿宋_GB2312" w:hAnsi="仿宋_GB2312" w:cs="仿宋_GB2312" w:eastAsia="仿宋_GB2312"/>
                      <w:sz w:val="28"/>
                    </w:rPr>
                    <w:t>铁</w:t>
                  </w:r>
                </w:p>
              </w:tc>
              <w:tc>
                <w:tcPr>
                  <w:tcW w:type="dxa" w:w="21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2865" w:right="90"/>
                    <w:jc w:val="center"/>
                  </w:pPr>
                  <w:r>
                    <w:rPr>
                      <w:rFonts w:ascii="仿宋_GB2312" w:hAnsi="仿宋_GB2312" w:cs="仿宋_GB2312" w:eastAsia="仿宋_GB2312"/>
                      <w:sz w:val="28"/>
                    </w:rPr>
                    <w:t>2.5 mg 来自乙二胺四乙酸铁钠；5 mg 来自富马酸亚铁或焦磷酸铁</w:t>
                  </w:r>
                </w:p>
              </w:tc>
            </w:tr>
            <w:tr>
              <w:tc>
                <w:tcPr>
                  <w:tcW w:type="dxa" w:w="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5"/>
                    <w:jc w:val="center"/>
                  </w:pPr>
                  <w:r>
                    <w:rPr>
                      <w:rFonts w:ascii="仿宋_GB2312" w:hAnsi="仿宋_GB2312" w:cs="仿宋_GB2312" w:eastAsia="仿宋_GB2312"/>
                      <w:sz w:val="28"/>
                    </w:rPr>
                    <w:t>锌</w:t>
                  </w:r>
                </w:p>
              </w:tc>
              <w:tc>
                <w:tcPr>
                  <w:tcW w:type="dxa" w:w="21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350" w:right="1335"/>
                    <w:jc w:val="center"/>
                  </w:pPr>
                  <w:r>
                    <w:rPr>
                      <w:rFonts w:ascii="仿宋_GB2312" w:hAnsi="仿宋_GB2312" w:cs="仿宋_GB2312" w:eastAsia="仿宋_GB2312"/>
                      <w:sz w:val="28"/>
                    </w:rPr>
                    <w:t>氧化锌</w:t>
                  </w:r>
                  <w:r>
                    <w:rPr>
                      <w:rFonts w:ascii="仿宋_GB2312" w:hAnsi="仿宋_GB2312" w:cs="仿宋_GB2312" w:eastAsia="仿宋_GB2312"/>
                      <w:sz w:val="28"/>
                    </w:rPr>
                    <w:t>*</w:t>
                  </w:r>
                </w:p>
              </w:tc>
            </w:tr>
          </w:tbl>
          <w:p>
            <w:pPr>
              <w:pStyle w:val="null3"/>
              <w:ind w:firstLine="640"/>
              <w:jc w:val="both"/>
            </w:pPr>
            <w:r>
              <w:rPr>
                <w:rFonts w:ascii="仿宋_GB2312" w:hAnsi="仿宋_GB2312" w:cs="仿宋_GB2312" w:eastAsia="仿宋_GB2312"/>
                <w:sz w:val="32"/>
              </w:rPr>
              <w:t>注：</w:t>
            </w:r>
            <w:r>
              <w:rPr>
                <w:rFonts w:ascii="仿宋_GB2312" w:hAnsi="仿宋_GB2312" w:cs="仿宋_GB2312" w:eastAsia="仿宋_GB2312"/>
                <w:sz w:val="32"/>
              </w:rPr>
              <w:t>*可选择其他钙和锌的化合物，其来源应符合 GB14880 附录 C 要求。</w:t>
            </w:r>
          </w:p>
          <w:p>
            <w:pPr>
              <w:pStyle w:val="null3"/>
              <w:ind w:firstLine="640"/>
              <w:jc w:val="both"/>
            </w:pPr>
            <w:r>
              <w:rPr>
                <w:rFonts w:ascii="仿宋_GB2312" w:hAnsi="仿宋_GB2312" w:cs="仿宋_GB2312" w:eastAsia="仿宋_GB2312"/>
                <w:sz w:val="32"/>
              </w:rPr>
              <w:t>（三）包装及标签标识要求</w:t>
            </w:r>
          </w:p>
          <w:p>
            <w:pPr>
              <w:pStyle w:val="null3"/>
              <w:ind w:firstLine="640"/>
              <w:jc w:val="both"/>
            </w:pPr>
            <w:r>
              <w:rPr>
                <w:rFonts w:ascii="仿宋_GB2312" w:hAnsi="仿宋_GB2312" w:cs="仿宋_GB2312" w:eastAsia="仿宋_GB2312"/>
                <w:sz w:val="32"/>
              </w:rPr>
              <w:t>1.包装材料要求。</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1）内包装材质：采用食品包装用塑料与铝箔复合袋，材质质量应当符合《食品包装用塑料与铝箔复合膜、袋》（GB/T 28118-2011）的要求及相应的食品安全标准，其中铝层厚度不低于 7 微米。</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2）纸盒：采用至少 300 g/m2 规格的白卡纸制作，用于包装 30 袋营养包，白卡纸质量应当符合《涂布纸和纸板 涂布白卡纸》（GB/T 10335.3-2018）的要求。</w:t>
            </w:r>
          </w:p>
          <w:p>
            <w:pPr>
              <w:pStyle w:val="null3"/>
              <w:ind w:firstLine="640"/>
              <w:jc w:val="both"/>
            </w:pPr>
            <w:r>
              <w:rPr>
                <w:rFonts w:ascii="仿宋_GB2312" w:hAnsi="仿宋_GB2312" w:cs="仿宋_GB2312" w:eastAsia="仿宋_GB2312"/>
                <w:sz w:val="32"/>
              </w:rPr>
              <w:t>2.标识内容要求。</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1）应当符合《食品安全国家标准 辅食营养补充品》（GB 22570-2014）、《食品安全国家标准 预包装食品标签通则》（GB 7718－2011）、《食品安全国家标准 预包装特殊膳食用食品标签》（GB 13432－2013）标识要求。具体要求如下：</w:t>
            </w:r>
          </w:p>
          <w:p>
            <w:pPr>
              <w:pStyle w:val="null3"/>
              <w:ind w:firstLine="640"/>
              <w:jc w:val="both"/>
            </w:pPr>
            <w:r>
              <w:rPr>
                <w:rFonts w:ascii="仿宋_GB2312" w:hAnsi="仿宋_GB2312" w:cs="仿宋_GB2312" w:eastAsia="仿宋_GB2312"/>
                <w:sz w:val="32"/>
              </w:rPr>
              <w:t>儿童营养改善项目专用。</w:t>
            </w:r>
          </w:p>
          <w:p>
            <w:pPr>
              <w:pStyle w:val="null3"/>
              <w:ind w:firstLine="640"/>
              <w:jc w:val="both"/>
            </w:pPr>
            <w:r>
              <w:rPr>
                <w:rFonts w:ascii="仿宋_GB2312" w:hAnsi="仿宋_GB2312" w:cs="仿宋_GB2312" w:eastAsia="仿宋_GB2312"/>
                <w:sz w:val="32"/>
              </w:rPr>
              <w:t>产品名称：婴幼儿辅食营养包（辅食营养补充品）。</w:t>
            </w:r>
          </w:p>
          <w:p>
            <w:pPr>
              <w:pStyle w:val="null3"/>
              <w:ind w:firstLine="640"/>
              <w:jc w:val="both"/>
            </w:pPr>
            <w:r>
              <w:rPr>
                <w:rFonts w:ascii="仿宋_GB2312" w:hAnsi="仿宋_GB2312" w:cs="仿宋_GB2312" w:eastAsia="仿宋_GB2312"/>
                <w:sz w:val="32"/>
              </w:rPr>
              <w:t>配料表：企业根据营养包实际配料并按</w:t>
            </w:r>
            <w:r>
              <w:rPr>
                <w:rFonts w:ascii="仿宋_GB2312" w:hAnsi="仿宋_GB2312" w:cs="仿宋_GB2312" w:eastAsia="仿宋_GB2312"/>
                <w:sz w:val="32"/>
              </w:rPr>
              <w:t>GB 7718-2011 和 GB 13432-2013 列出。</w:t>
            </w:r>
          </w:p>
          <w:p>
            <w:pPr>
              <w:pStyle w:val="null3"/>
              <w:ind w:firstLine="640"/>
              <w:jc w:val="both"/>
            </w:pPr>
            <w:r>
              <w:rPr>
                <w:rFonts w:ascii="仿宋_GB2312" w:hAnsi="仿宋_GB2312" w:cs="仿宋_GB2312" w:eastAsia="仿宋_GB2312"/>
                <w:sz w:val="32"/>
              </w:rPr>
              <w:t>适宜人群：</w:t>
            </w:r>
            <w:r>
              <w:rPr>
                <w:rFonts w:ascii="仿宋_GB2312" w:hAnsi="仿宋_GB2312" w:cs="仿宋_GB2312" w:eastAsia="仿宋_GB2312"/>
                <w:sz w:val="32"/>
              </w:rPr>
              <w:t>6-36 月龄婴幼儿。</w:t>
            </w:r>
          </w:p>
          <w:p>
            <w:pPr>
              <w:pStyle w:val="null3"/>
              <w:ind w:firstLine="640"/>
              <w:jc w:val="both"/>
            </w:pPr>
            <w:r>
              <w:rPr>
                <w:rFonts w:ascii="仿宋_GB2312" w:hAnsi="仿宋_GB2312" w:cs="仿宋_GB2312" w:eastAsia="仿宋_GB2312"/>
                <w:sz w:val="32"/>
              </w:rPr>
              <w:t>净含量</w:t>
            </w:r>
            <w:r>
              <w:rPr>
                <w:rFonts w:ascii="仿宋_GB2312" w:hAnsi="仿宋_GB2312" w:cs="仿宋_GB2312" w:eastAsia="仿宋_GB2312"/>
                <w:sz w:val="32"/>
              </w:rPr>
              <w:t>/规格：360 g（12 g×30 袋）。</w:t>
            </w:r>
          </w:p>
          <w:p>
            <w:pPr>
              <w:pStyle w:val="null3"/>
              <w:ind w:firstLine="640"/>
              <w:jc w:val="both"/>
            </w:pPr>
            <w:r>
              <w:rPr>
                <w:rFonts w:ascii="仿宋_GB2312" w:hAnsi="仿宋_GB2312" w:cs="仿宋_GB2312" w:eastAsia="仿宋_GB2312"/>
                <w:sz w:val="32"/>
              </w:rPr>
              <w:t>产品标准号：</w:t>
            </w:r>
            <w:r>
              <w:rPr>
                <w:rFonts w:ascii="仿宋_GB2312" w:hAnsi="仿宋_GB2312" w:cs="仿宋_GB2312" w:eastAsia="仿宋_GB2312"/>
                <w:sz w:val="32"/>
              </w:rPr>
              <w:t>GB 22570-2014。</w:t>
            </w:r>
          </w:p>
          <w:p>
            <w:pPr>
              <w:pStyle w:val="null3"/>
              <w:ind w:firstLine="640"/>
              <w:jc w:val="both"/>
            </w:pPr>
            <w:r>
              <w:rPr>
                <w:rFonts w:ascii="仿宋_GB2312" w:hAnsi="仿宋_GB2312" w:cs="仿宋_GB2312" w:eastAsia="仿宋_GB2312"/>
                <w:sz w:val="32"/>
              </w:rPr>
              <w:t>食用方法及食用量：每日</w:t>
            </w:r>
            <w:r>
              <w:rPr>
                <w:rFonts w:ascii="仿宋_GB2312" w:hAnsi="仿宋_GB2312" w:cs="仿宋_GB2312" w:eastAsia="仿宋_GB2312"/>
                <w:sz w:val="32"/>
              </w:rPr>
              <w:t>1 袋，拌入婴幼儿辅食中或直接以温开水调成糊状食用。（附使用示意图）</w:t>
            </w:r>
          </w:p>
          <w:p>
            <w:pPr>
              <w:pStyle w:val="null3"/>
              <w:ind w:firstLine="640"/>
              <w:jc w:val="both"/>
            </w:pPr>
            <w:r>
              <w:rPr>
                <w:rFonts w:ascii="仿宋_GB2312" w:hAnsi="仿宋_GB2312" w:cs="仿宋_GB2312" w:eastAsia="仿宋_GB2312"/>
                <w:sz w:val="32"/>
              </w:rPr>
              <w:t>生产日期：</w:t>
            </w:r>
          </w:p>
          <w:p>
            <w:pPr>
              <w:pStyle w:val="null3"/>
              <w:ind w:firstLine="640"/>
              <w:jc w:val="both"/>
            </w:pPr>
            <w:r>
              <w:rPr>
                <w:rFonts w:ascii="仿宋_GB2312" w:hAnsi="仿宋_GB2312" w:cs="仿宋_GB2312" w:eastAsia="仿宋_GB2312"/>
                <w:sz w:val="32"/>
              </w:rPr>
              <w:t>批号：</w:t>
            </w:r>
          </w:p>
          <w:p>
            <w:pPr>
              <w:pStyle w:val="null3"/>
              <w:ind w:firstLine="640"/>
              <w:jc w:val="both"/>
            </w:pPr>
            <w:r>
              <w:rPr>
                <w:rFonts w:ascii="仿宋_GB2312" w:hAnsi="仿宋_GB2312" w:cs="仿宋_GB2312" w:eastAsia="仿宋_GB2312"/>
                <w:sz w:val="32"/>
              </w:rPr>
              <w:t>保质期：</w:t>
            </w:r>
          </w:p>
          <w:p>
            <w:pPr>
              <w:pStyle w:val="null3"/>
              <w:ind w:firstLine="640"/>
              <w:jc w:val="both"/>
            </w:pPr>
            <w:r>
              <w:rPr>
                <w:rFonts w:ascii="仿宋_GB2312" w:hAnsi="仿宋_GB2312" w:cs="仿宋_GB2312" w:eastAsia="仿宋_GB2312"/>
                <w:sz w:val="32"/>
              </w:rPr>
              <w:t>贮存条件：置于室内阴凉干燥处保存。</w:t>
            </w:r>
          </w:p>
          <w:p>
            <w:pPr>
              <w:pStyle w:val="null3"/>
              <w:ind w:firstLine="640"/>
              <w:jc w:val="both"/>
            </w:pPr>
            <w:r>
              <w:rPr>
                <w:rFonts w:ascii="仿宋_GB2312" w:hAnsi="仿宋_GB2312" w:cs="仿宋_GB2312" w:eastAsia="仿宋_GB2312"/>
                <w:sz w:val="32"/>
              </w:rPr>
              <w:t>注意事项：本品不能代替母乳及婴幼儿辅助食品；本品添加多种微量营养素，与其他同类产品同时食用时应注意用量。</w:t>
            </w:r>
          </w:p>
          <w:p>
            <w:pPr>
              <w:pStyle w:val="null3"/>
              <w:ind w:firstLine="640"/>
              <w:jc w:val="both"/>
            </w:pPr>
            <w:r>
              <w:rPr>
                <w:rFonts w:ascii="仿宋_GB2312" w:hAnsi="仿宋_GB2312" w:cs="仿宋_GB2312" w:eastAsia="仿宋_GB2312"/>
                <w:sz w:val="32"/>
              </w:rPr>
              <w:t>生产商：（名称、地址、联系电话）。</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2）项目专用包装应当以项目名称为主，生产企业标识为辅；</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3）以图文并茂的方式详细说明营养包用法。</w:t>
            </w:r>
          </w:p>
          <w:p>
            <w:pPr>
              <w:pStyle w:val="null3"/>
              <w:ind w:firstLine="640"/>
              <w:jc w:val="both"/>
            </w:pPr>
            <w:r>
              <w:rPr>
                <w:rFonts w:ascii="仿宋_GB2312" w:hAnsi="仿宋_GB2312" w:cs="仿宋_GB2312" w:eastAsia="仿宋_GB2312"/>
                <w:sz w:val="32"/>
              </w:rPr>
              <w:t>3.小袋标识。产品名称，并醒目标识“儿童营养改善项目专用”字样。</w:t>
            </w:r>
          </w:p>
          <w:p>
            <w:pPr>
              <w:pStyle w:val="null3"/>
              <w:ind w:firstLine="640"/>
              <w:jc w:val="both"/>
            </w:pPr>
            <w:r>
              <w:rPr>
                <w:rFonts w:ascii="仿宋_GB2312" w:hAnsi="仿宋_GB2312" w:cs="仿宋_GB2312" w:eastAsia="仿宋_GB2312"/>
                <w:sz w:val="32"/>
              </w:rPr>
              <w:t>4.外盒标识。在醒目位置标识“儿童营养改善项目专用”和“国家免费”字样、主办单位名称、生产商、产品名称、类别、配料、营养成分表及含量声称、适用人群、批号、生产日期、保质期、贮存条件、注意事项、图表性标识食用方法和使用量、净含量/规格、厂商地址、电话等。</w:t>
            </w:r>
          </w:p>
          <w:p>
            <w:pPr>
              <w:pStyle w:val="null3"/>
              <w:ind w:firstLine="640"/>
              <w:jc w:val="both"/>
            </w:pPr>
            <w:r>
              <w:rPr>
                <w:rFonts w:ascii="仿宋_GB2312" w:hAnsi="仿宋_GB2312" w:cs="仿宋_GB2312" w:eastAsia="仿宋_GB2312"/>
                <w:sz w:val="32"/>
              </w:rPr>
              <w:t>5.外箱标识。醒目位置标识“儿童营养改善项目专用”和“国家免费”字样、主办单位名称、生产商、产品名称、净含量（盒/箱×袋/盒，重量 g）、生产日期和/或批号、厂商地址、电话。</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2026年12月31日前</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渭南市卫生健康委员会</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合同签订后，乙方将（第一批）营养包送达至甲方指定机构，验收合格，收到发票后14个工作日内</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待第二批营养包送达至甲方指定机构，验收合格后，乙方出具承诺函及发票后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1.所供产品的规格、数量符合招标文件供应商投标承诺及采购合同约定的要求。 2.所有产品均已运输至指定地点，依据招标文件要求验收。 3.招标文件供应商投标承诺及采购合同约定的附件、工具、技术资料等齐全；提供产品使用说明书、合格证。</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1、质保期：至少 12 个月。 2、售后服务要求： （1）、提供每批次发放的样本，以便甲方随时抽查，随机抽检，检验费由投标人承担。 （2）、型式检验报告。每半年 1 次，按项目产品的相关标准要求对项目营养包进行全项检验。 （3）中标企业配备专门负责营养包使用过程中24小时电话咨询服务人员。</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 xml:space="preserve"> 3.5.1、按照招标文件对样品的要求，提供样品。提交地点、时间： 地点：渭南市市民综合服务中心西配楼一楼评标室 时间：开标当日供应商在评标室外等叫。 3.5.2、采购数量：本项目资金全部用于营养包采购，结算数量以实际采购数量为准，但不得低于6916980袋。 3.5.3、伴随服务包：免费提供以下宣传、培训、资料及物品。具体为： 3.5.3.1.《培训教材》。数量要求：市项目办 2 本，每个县、镇各 4本、每村 2本。技术要求：纸张 70g正 16开，封面彩印。 3.5.3.2.《宣传海报》。数量要求：市项目办2份，每个县、镇各10份、每村4份。技术要求：200g 铜版纸，大对开，860mmx560mm,彩印。 3.5.3.3.《宣传 U 盘》。数量要求：市卫健委2个，市项目办3个，每个县、镇、村各2 个。技术要求：存储空间不小于 20G，提前拷贝项目宣传动画、培训教材电子版等内容。 3.5.3.4.《营养包使用手册》。数量要求：发放对象为婴幼儿家长每人 1册，具体数量按婴幼儿数核算。技术要求：70g/m2正 A4纸彩页。 3.5.3.5.《家长知情同意书》。数量要求：发放对象为婴幼儿家长每人1张，具体数量按婴幼儿数核算。技术要求：50g/m2正 A4纸。 3.5.3.6.《宣传折页》。数量要求：市项目办各5份、县项目办各10份，镇、村各30份，婴幼儿家长各1份。技术要求：铜纸板，五折，折后不小于 15x25cm，彩印。 3.5.3.7．宣传督导。每年配合市项目办到项目县市区进行督导宣传及目效果评估不少于2次。 3.5.3.8.开展相关管理与业务人员培训。培训要求：县级及乡镇卫生院管理人员线下培训不少于6学时，约260人；乡村医生线上培训不少于4学时，约5000人，培训覆盖率达到 90%，供应商应拿出年度培训方案，经市卫生健康行政部门审核后执行。 3.5.3.9．按照甲方分配表要求：为每村提供营养包（ 20 人X2 月用量）的塑料储存容器（容器材料符合国家食品安全藏储、环保产品要求，无异味）。 3.5.3.10．为信息统计提供支持。 印制：(1)《XX 市脱贫地区儿童营养改善项目营养包收货（验 收）登记单》（县妇幼保健机构使用），每县 2 本，每本 20 张，一式四联（一张指一式四联），单面印制，规格：A4纸。 (2)《XX 市脱贫地区儿童营养改善项目营养包接收登记单》（乡镇卫生院、村卫生室使用），每乡（镇）2本，每村 2本，每本 20张，一式二联（一张指一式二联），单面印制， 规格：A4 纸。 (3)《XX 市脱贫地区儿童营养改善项目营养包发放登记表》,镇、村具体发放人员使用，每婴幼儿 1 张，每本 50 张，单面印制，规格：A4纸。 (4)《XX市脱贫地区儿童营养改善项目营养包发放统计报表》,市 1本，每县10本，每本20 张，每张 10 格，一式三联（一张指一式三联），单面印刷并使用无碳复写纸， 规格：A4纸。 (5)《XX市脱贫地区儿童营养改善项目营养包发放出入库登记表》，每县 2 本，每镇 6本，每本 20 张，每张 10 格，规格：A4纸。 说明：涉及上述要求的宣传资料由采购人提供基本模板、内容，中标人根据基本模板及内容进行设计（所有宣传资料须包含"国家免费"字样），供应商报价须包含上述所有产品 （及配套服务）。签订合同前，供应商必须提供上述产品样本各一套，经采购人确认合格后再签订合同，上述产品与营养包首次供货时同步发放至各点。 3.5.4、对产品的配送要求 3.5.4.1．按甲方的相关要求，制定详细的配送方案，并按国家相关要求保障产品运输及过程中的安全和卫生条件，免费将营养包（营养包和其他资料）配送至各项目县指定地点。 3.5.4.2.对产品配送过程质量保障的要求 (1) 在供货过程中，营养包出现包装破损、标签不清、污损等问题，应当无条件退货。在保质期内，营养包出现感官等质量问题，经采购人项目管理办公室组织确认，接收方有权要求退货，原则上终止供货合同。若判定为不安全食品，应按国家相关法规处置，予以召回。 (2）乙方首次配送产品时为发放点提供能够防潮防鼠防漏保藏产品的塑料储存容器（容器材料符合国家食品安全储藏、环保产品要求，无异味）。每个容器储存量至少为 20 人X2 月用量营养包（配备每村二个），塑料储存箱等容器的数量为＿个（根据合同内配送营养包数量及甲方分配表提供塑料储存箱等容器）。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财务会计制度.docx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书面声明.docx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w:t>
            </w:r>
          </w:p>
        </w:tc>
        <w:tc>
          <w:tcPr>
            <w:tcW w:type="dxa" w:w="3322"/>
          </w:tcPr>
          <w:p>
            <w:pPr>
              <w:pStyle w:val="null3"/>
            </w:pPr>
            <w:r>
              <w:rPr>
                <w:rFonts w:ascii="仿宋_GB2312" w:hAnsi="仿宋_GB2312" w:cs="仿宋_GB2312" w:eastAsia="仿宋_GB2312"/>
              </w:rPr>
              <w:t>须提供合法注册的法人或其他组织的营业执照等证明文件（事业单位法人证书\民办非企业单位登记证书\非企业专业服务机构执业许可证等），自然人须提供的身份证明文件；供应商需在项目电子化交易系统中按要求上传，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供应商应授权合法的人员参加投标全过程</w:t>
            </w:r>
          </w:p>
        </w:tc>
        <w:tc>
          <w:tcPr>
            <w:tcW w:type="dxa" w:w="3322"/>
          </w:tcPr>
          <w:p>
            <w:pPr>
              <w:pStyle w:val="null3"/>
            </w:pPr>
            <w:r>
              <w:rPr>
                <w:rFonts w:ascii="仿宋_GB2312" w:hAnsi="仿宋_GB2312" w:cs="仿宋_GB2312" w:eastAsia="仿宋_GB2312"/>
              </w:rPr>
              <w:t>法定代表人参加的，须出具法定代表人身份证明，并与营业执照上信息一致；法定代表人授权代表参加的，须出具法定代表人授权书及授权代表身份证。供应商需在项目电子化交易系统中按要求上传相关证明文件，并进行电子签章。</w:t>
            </w:r>
          </w:p>
        </w:tc>
        <w:tc>
          <w:tcPr>
            <w:tcW w:type="dxa" w:w="1661"/>
          </w:tcPr>
          <w:p>
            <w:pPr>
              <w:pStyle w:val="null3"/>
            </w:pPr>
            <w:r>
              <w:rPr>
                <w:rFonts w:ascii="仿宋_GB2312" w:hAnsi="仿宋_GB2312" w:cs="仿宋_GB2312" w:eastAsia="仿宋_GB2312"/>
              </w:rPr>
              <w:t>法定代表人身份证明、法定代表人授权委托书.docx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缴纳税收证明</w:t>
            </w:r>
          </w:p>
        </w:tc>
        <w:tc>
          <w:tcPr>
            <w:tcW w:type="dxa" w:w="3322"/>
          </w:tcPr>
          <w:p>
            <w:pPr>
              <w:pStyle w:val="null3"/>
            </w:pPr>
            <w:r>
              <w:rPr>
                <w:rFonts w:ascii="仿宋_GB2312" w:hAnsi="仿宋_GB2312" w:cs="仿宋_GB2312" w:eastAsia="仿宋_GB2312"/>
              </w:rPr>
              <w:t>提供开标前一年内任意一个月的依法缴纳税收的相关凭据（时间以税款所属日期为准，增值税、企业所得税至少提供一种），凭据应有税务机关或代收机关的公章或业务专用章；依法免税或无须缴纳税收的投标人，应提供相应证明文件；供应商需在项目电子化交易系统中按要求上传，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缴纳社会保障资金证明</w:t>
            </w:r>
          </w:p>
        </w:tc>
        <w:tc>
          <w:tcPr>
            <w:tcW w:type="dxa" w:w="3322"/>
          </w:tcPr>
          <w:p>
            <w:pPr>
              <w:pStyle w:val="null3"/>
            </w:pPr>
            <w:r>
              <w:rPr>
                <w:rFonts w:ascii="仿宋_GB2312" w:hAnsi="仿宋_GB2312" w:cs="仿宋_GB2312" w:eastAsia="仿宋_GB2312"/>
              </w:rPr>
              <w:t>提供开标前一年内任意一个月的已缴纳的社会保障资金缴存单据或社保机构开具的社会保险参保缴费情况证明；依法不需要缴纳社会保障资金的供应商应提供相关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提供具有财务审计资质单位出具的2024年度完整财务报告或开标前六个月内其基本账户银行出具的资信证明；供应商需在项目电子化交易系统中按要求上传，并进行电子签章。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供应商及所投产品的资质</w:t>
            </w:r>
          </w:p>
        </w:tc>
        <w:tc>
          <w:tcPr>
            <w:tcW w:type="dxa" w:w="3322"/>
          </w:tcPr>
          <w:p>
            <w:pPr>
              <w:pStyle w:val="null3"/>
            </w:pPr>
            <w:r>
              <w:rPr>
                <w:rFonts w:ascii="仿宋_GB2312" w:hAnsi="仿宋_GB2312" w:cs="仿宋_GB2312" w:eastAsia="仿宋_GB2312"/>
              </w:rPr>
              <w:t>生产厂家投标须出具市场监管部门颁发的营养包相关食品生产许可证，副本(或副页）中载明辅食营养补充品（或辅食营养素补充食品）生产明细，且在有效期内；代理商投标需提供食品经营许可证及上述生产厂家许可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供应商需在项目电子化交易系统中按要求上传《供应商信用记录书面声明函》，并进行电子签章。</w:t>
            </w:r>
          </w:p>
        </w:tc>
        <w:tc>
          <w:tcPr>
            <w:tcW w:type="dxa" w:w="1661"/>
          </w:tcPr>
          <w:p>
            <w:pPr>
              <w:pStyle w:val="null3"/>
            </w:pPr>
            <w:r>
              <w:rPr>
                <w:rFonts w:ascii="仿宋_GB2312" w:hAnsi="仿宋_GB2312" w:cs="仿宋_GB2312" w:eastAsia="仿宋_GB2312"/>
              </w:rPr>
              <w:t>供应商信用记录书面声明函.docx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供应商需在项目电子化交易系统中按要求上传《供应商无重大违法记录书面声明函》，并进行电子签章。</w:t>
            </w:r>
          </w:p>
        </w:tc>
        <w:tc>
          <w:tcPr>
            <w:tcW w:type="dxa" w:w="1661"/>
          </w:tcPr>
          <w:p>
            <w:pPr>
              <w:pStyle w:val="null3"/>
            </w:pPr>
            <w:r>
              <w:rPr>
                <w:rFonts w:ascii="仿宋_GB2312" w:hAnsi="仿宋_GB2312" w:cs="仿宋_GB2312" w:eastAsia="仿宋_GB2312"/>
              </w:rPr>
              <w:t>供应商无重大违法记录书面声明函.docx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本项目不接受联合体投标，供应商需在项目电子化交易系统中按要求上传《非联合体投标声明》，并进行电子签章。</w:t>
            </w:r>
          </w:p>
        </w:tc>
        <w:tc>
          <w:tcPr>
            <w:tcW w:type="dxa" w:w="1661"/>
          </w:tcPr>
          <w:p>
            <w:pPr>
              <w:pStyle w:val="null3"/>
            </w:pPr>
            <w:r>
              <w:rPr>
                <w:rFonts w:ascii="仿宋_GB2312" w:hAnsi="仿宋_GB2312" w:cs="仿宋_GB2312" w:eastAsia="仿宋_GB2312"/>
              </w:rPr>
              <w:t>非联合体投标声明.docx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无一级召回或二级召回书面声明</w:t>
            </w:r>
          </w:p>
        </w:tc>
        <w:tc>
          <w:tcPr>
            <w:tcW w:type="dxa" w:w="3322"/>
          </w:tcPr>
          <w:p>
            <w:pPr>
              <w:pStyle w:val="null3"/>
            </w:pPr>
            <w:r>
              <w:rPr>
                <w:rFonts w:ascii="仿宋_GB2312" w:hAnsi="仿宋_GB2312" w:cs="仿宋_GB2312" w:eastAsia="仿宋_GB2312"/>
              </w:rPr>
              <w:t>供应商在开标前一年内，在同类营养包项目供货过程中因存在食品安全问题导致产品一级召回或二级召回的不得参与本次投标。供应商需提供开标前一年内在同类营养包项目供货过程中没有因食品安全问题导致产品一级召回或二级召回的书面声明。</w:t>
            </w:r>
          </w:p>
        </w:tc>
        <w:tc>
          <w:tcPr>
            <w:tcW w:type="dxa" w:w="1661"/>
          </w:tcPr>
          <w:p>
            <w:pPr>
              <w:pStyle w:val="null3"/>
            </w:pPr>
            <w:r>
              <w:rPr>
                <w:rFonts w:ascii="仿宋_GB2312" w:hAnsi="仿宋_GB2312" w:cs="仿宋_GB2312" w:eastAsia="仿宋_GB2312"/>
              </w:rPr>
              <w:t>无一级召回或二级召回的书面声明.docx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参与的供应商提供的货物全部由符合政策要求的中小企业制造，投标人应提交相关资格证明材料。监狱企业与残疾人福利性单位视同小型、微型企业，享受同等价格扣除，当企业属性重复时，不重复价格扣除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投标文件项目名称、项目编号</w:t>
            </w:r>
          </w:p>
        </w:tc>
        <w:tc>
          <w:tcPr>
            <w:tcW w:type="dxa" w:w="3322"/>
          </w:tcPr>
          <w:p>
            <w:pPr>
              <w:pStyle w:val="null3"/>
            </w:pPr>
            <w:r>
              <w:rPr>
                <w:rFonts w:ascii="仿宋_GB2312" w:hAnsi="仿宋_GB2312" w:cs="仿宋_GB2312" w:eastAsia="仿宋_GB2312"/>
              </w:rPr>
              <w:t>投标文件以下三处的项目名称、项目编号无遗漏，且与本项目一致： （1）封面； （2）投标函； （3）法定代表人委托授权书。</w:t>
            </w:r>
          </w:p>
        </w:tc>
        <w:tc>
          <w:tcPr>
            <w:tcW w:type="dxa" w:w="1661"/>
          </w:tcPr>
          <w:p>
            <w:pPr>
              <w:pStyle w:val="null3"/>
            </w:pPr>
            <w:r>
              <w:rPr>
                <w:rFonts w:ascii="仿宋_GB2312" w:hAnsi="仿宋_GB2312" w:cs="仿宋_GB2312" w:eastAsia="仿宋_GB2312"/>
              </w:rPr>
              <w:t>投标函 法定代表人身份证明、法定代表人授权委托书.docx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对技术、商务要求及其他要求的响应</w:t>
            </w:r>
          </w:p>
        </w:tc>
        <w:tc>
          <w:tcPr>
            <w:tcW w:type="dxa" w:w="3322"/>
          </w:tcPr>
          <w:p>
            <w:pPr>
              <w:pStyle w:val="null3"/>
            </w:pPr>
            <w:r>
              <w:rPr>
                <w:rFonts w:ascii="仿宋_GB2312" w:hAnsi="仿宋_GB2312" w:cs="仿宋_GB2312" w:eastAsia="仿宋_GB2312"/>
              </w:rPr>
              <w:t>完全理解并接受招标文件的约束。</w:t>
            </w:r>
          </w:p>
        </w:tc>
        <w:tc>
          <w:tcPr>
            <w:tcW w:type="dxa" w:w="1661"/>
          </w:tcPr>
          <w:p>
            <w:pPr>
              <w:pStyle w:val="null3"/>
            </w:pPr>
            <w:r>
              <w:rPr>
                <w:rFonts w:ascii="仿宋_GB2312" w:hAnsi="仿宋_GB2312" w:cs="仿宋_GB2312" w:eastAsia="仿宋_GB2312"/>
              </w:rPr>
              <w:t>产品技术参数表 其他要求响应表.docx 商务应答表 商务应答响应表.docx 产品技术参数响应表.docx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（1）报价符合唯一性要求；（2）开标一览表填写符合要求； （3）报价货币符合招标文件要求； （4）按照所投单价和数量计算，未超出招标文件规定预算。</w:t>
            </w:r>
          </w:p>
        </w:tc>
        <w:tc>
          <w:tcPr>
            <w:tcW w:type="dxa" w:w="1661"/>
          </w:tcPr>
          <w:p>
            <w:pPr>
              <w:pStyle w:val="null3"/>
            </w:pPr>
            <w:r>
              <w:rPr>
                <w:rFonts w:ascii="仿宋_GB2312" w:hAnsi="仿宋_GB2312" w:cs="仿宋_GB2312" w:eastAsia="仿宋_GB2312"/>
              </w:rPr>
              <w:t>开标一览表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价格</w:t>
            </w:r>
          </w:p>
        </w:tc>
        <w:tc>
          <w:tcPr>
            <w:tcW w:type="dxa" w:w="2492"/>
          </w:tcPr>
          <w:p>
            <w:pPr>
              <w:pStyle w:val="null3"/>
            </w:pPr>
            <w:r>
              <w:rPr>
                <w:rFonts w:ascii="仿宋_GB2312" w:hAnsi="仿宋_GB2312" w:cs="仿宋_GB2312" w:eastAsia="仿宋_GB2312"/>
              </w:rPr>
              <w:t>满足招标文件要求且投标单价最低的投标报价为评标基准价，其价格分为满分。其他投标供应商的价格分统一按照下列公式计算：投标报价得分=（评标基准价/投标报价）×30%×100。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技术要求</w:t>
            </w:r>
          </w:p>
        </w:tc>
        <w:tc>
          <w:tcPr>
            <w:tcW w:type="dxa" w:w="2492"/>
          </w:tcPr>
          <w:p>
            <w:pPr>
              <w:pStyle w:val="null3"/>
            </w:pPr>
            <w:r>
              <w:rPr>
                <w:rFonts w:ascii="仿宋_GB2312" w:hAnsi="仿宋_GB2312" w:cs="仿宋_GB2312" w:eastAsia="仿宋_GB2312"/>
              </w:rPr>
              <w:t xml:space="preserve"> 投标人对所投产品技术要求逐条进行明确响应，响应指标每出现一项负偏扣0.5分，扣完为止。 并提供相关证明材料。证明材料：1、证明材料包括但不限于产品检测报告、产品白皮书、彩页、使用手册等。 2.投标文件技术要求响应情况内容应与证明材料内容一致，当不一致时，按负偏离评审。 3.供应商需对所提供的证明材料的真实性负责，如有虚假，将依法承担相应责任。</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产品技术参数响应表.docx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1、（2分） 投标人的营养包产品已在市场销售，两年以上得2分，未满两年的得1分，未销售不得分。 （投标人提供开具的市场销售增值税专用发票底联复印件并加盖公章，未提供 的不得分。） 2、（2分） 投标人资助过辅食营养补充品相关的公益项目得2分。 （提供加盖投标人公章的公益项目书或合同书或资助证明(函)等证明性文件(证明性文件中的资助人名称必须与投标人一致)。 3、（2分） 投标人就项目营养包参加食品安全责任保险，参加者得2分，未参加者不得分。 （提供食品安全责任保险单或相关合同书。）</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产品配料</w:t>
            </w:r>
          </w:p>
        </w:tc>
        <w:tc>
          <w:tcPr>
            <w:tcW w:type="dxa" w:w="2492"/>
          </w:tcPr>
          <w:p>
            <w:pPr>
              <w:pStyle w:val="null3"/>
            </w:pPr>
            <w:r>
              <w:rPr>
                <w:rFonts w:ascii="仿宋_GB2312" w:hAnsi="仿宋_GB2312" w:cs="仿宋_GB2312" w:eastAsia="仿宋_GB2312"/>
              </w:rPr>
              <w:t>1、（3分）I类速溶豆粉质量及来源要求 提供中标后承诺应用于本项目营养包的I类速溶豆粉相关的证明性采购资料：I类速溶豆粉质量规格书及合格供应商名称；1份既往I类速溶豆粉采购合同和1张上年度I类速溶豆粉采购发票的复印件、3个批次I类速溶豆粉质检报告复印件；在项目营养包中应用的测试报告，提供承诺书，承诺须征得采购人同意后方能更换豆粉生产商。上述资料提供完全者，得3分，提供不全或未提供的不得分。 2、（1分）提供由第三方食品检验机构出具的1年内速溶豆粉非转基因、污染物、农药残留的检测报告：①能提供速溶豆粉生产商和营养包企业委托检验报告的，得1分，速溶豆粉和营养包为同一生产商时，能提供委托检验报告的，得1分；②只提供速溶豆粉企业或 营养包企业的委托检验报告的得0.5分。 3、（2分）提供I类速溶豆粉所使用大豆来源为非转基因的说明文件及证明性文件（如种子来源及其证明，种植基地说明及其证明等）， 该文件由速溶豆粉生产企业提供，并加盖公章，能提供的，得1分； I类速溶豆粉生产企业具备转基因成分检测能力的，提供检测设备照片并加盖公章，提供者的，得1分。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产品包装</w:t>
            </w:r>
          </w:p>
        </w:tc>
        <w:tc>
          <w:tcPr>
            <w:tcW w:type="dxa" w:w="2492"/>
          </w:tcPr>
          <w:p>
            <w:pPr>
              <w:pStyle w:val="null3"/>
            </w:pPr>
            <w:r>
              <w:rPr>
                <w:rFonts w:ascii="仿宋_GB2312" w:hAnsi="仿宋_GB2312" w:cs="仿宋_GB2312" w:eastAsia="仿宋_GB2312"/>
              </w:rPr>
              <w:t>纸箱、盒装、小袋装产品包装及外观品质的评价： 1、(1分）内包装：材质符合GB/T 28118-2011的要求，有第三方检测报告，报告中氧气透过量［cm3/（m2・24h・0.1MPa）］W0. 8,水蒸汽透过量［g/（m2・24h）］W0. 5的，得1分，未提供选择证明和检测报告的不得分。 2、（2分）外包装：①纸盒：装30袋营养包的纸盒应清洁、牢固、无破 损，而且盒外印刷油墨牢固、不脱落、不褪色、无污染，选择证明或检测结果等优于招标要求的，得1分，否则不得分。②纸箱： 箱体牢固、无凹瘪、无破损和塌陷、无霉变和异味、箱外印刷油墨牢固、不脱落、不褪色、无污染，选择证明或检测结果等优于招标要求的，得1分，否则不得分。 3、（1分）外观品质的评价：由评标专家横向评价投标人样品的外盒和内包装小袋，对盒装产品的外观和纸盒材质厚度、挺度，以及内包装小袋的外观、材质进行总体打分，排名第一的，得1分，排名第二的，得0.5分，其他不得分。 （提供纸箱、盒装产品样品，投标文件中有包装材料选择证明或检测报告等，以及对纸箱、纸盒的强度进行说明）</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1、（4分）按照售后服务要求 ，投标人提供的售后服务内容全面，包括但不限于质量问题退换货、缺少补货、应急预案、提供每批次样本、型式检验报告等内容。方案最佳的得4分，其他酌情减分，未提供的不得分。 2、（1分）中标企业配备专门负责营养包使用过程中24小时电话咨询服务人员，得1分，无配备不得分。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商务应答响应表.docx</w:t>
            </w:r>
          </w:p>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电子信 息化食 品安全 全程追 溯能力</w:t>
            </w:r>
          </w:p>
        </w:tc>
        <w:tc>
          <w:tcPr>
            <w:tcW w:type="dxa" w:w="2492"/>
          </w:tcPr>
          <w:p>
            <w:pPr>
              <w:pStyle w:val="null3"/>
            </w:pPr>
            <w:r>
              <w:rPr>
                <w:rFonts w:ascii="仿宋_GB2312" w:hAnsi="仿宋_GB2312" w:cs="仿宋_GB2312" w:eastAsia="仿宋_GB2312"/>
              </w:rPr>
              <w:t>投标人已经建立并运行电子信息化食品安全全程追溯体系（能够实现食品安全追溯功能，可追溯到每批次产品生产环境、设备运行、关键控制点、配方、投料、赋码、检测、储存、销售、召回 等环节），一盒一码（二维码），该码能自动读取并录入电子信息化系统的，得3分，未提供的得0分。（提供系统的具体方案实现原理及上述要求的 系统进行截图、网址、临时用户名及密码）。</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产品配送保障</w:t>
            </w:r>
          </w:p>
        </w:tc>
        <w:tc>
          <w:tcPr>
            <w:tcW w:type="dxa" w:w="2492"/>
          </w:tcPr>
          <w:p>
            <w:pPr>
              <w:pStyle w:val="null3"/>
            </w:pPr>
            <w:r>
              <w:rPr>
                <w:rFonts w:ascii="仿宋_GB2312" w:hAnsi="仿宋_GB2312" w:cs="仿宋_GB2312" w:eastAsia="仿宋_GB2312"/>
              </w:rPr>
              <w:t>根据投标人的营养包配送计划和配送方案的合理、详细、周到程度，以及营养包及配套资料安全、及时送达的配送能力和保障措施，按其响应程度综合比得1-5分。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其他要求响应表.docx</w:t>
            </w:r>
          </w:p>
          <w:p>
            <w:pPr>
              <w:pStyle w:val="null3"/>
            </w:pPr>
            <w:r>
              <w:rPr>
                <w:rFonts w:ascii="仿宋_GB2312" w:hAnsi="仿宋_GB2312" w:cs="仿宋_GB2312" w:eastAsia="仿宋_GB2312"/>
              </w:rPr>
              <w:t>产品配送保障.docx</w:t>
            </w:r>
          </w:p>
        </w:tc>
      </w:tr>
      <w:tr>
        <w:tc>
          <w:tcPr>
            <w:tcW w:type="dxa" w:w="831"/>
            <w:vMerge/>
          </w:tcPr>
          <w:p/>
        </w:tc>
        <w:tc>
          <w:tcPr>
            <w:tcW w:type="dxa" w:w="1661"/>
          </w:tcPr>
          <w:p>
            <w:pPr>
              <w:pStyle w:val="null3"/>
            </w:pPr>
            <w:r>
              <w:rPr>
                <w:rFonts w:ascii="仿宋_GB2312" w:hAnsi="仿宋_GB2312" w:cs="仿宋_GB2312" w:eastAsia="仿宋_GB2312"/>
              </w:rPr>
              <w:t>产品感官</w:t>
            </w:r>
          </w:p>
        </w:tc>
        <w:tc>
          <w:tcPr>
            <w:tcW w:type="dxa" w:w="2492"/>
          </w:tcPr>
          <w:p>
            <w:pPr>
              <w:pStyle w:val="null3"/>
            </w:pPr>
            <w:r>
              <w:rPr>
                <w:rFonts w:ascii="仿宋_GB2312" w:hAnsi="仿宋_GB2312" w:cs="仿宋_GB2312" w:eastAsia="仿宋_GB2312"/>
              </w:rPr>
              <w:t>投标人在开标当日提供双份营养包样品作为评标时的测试样品，即 2份*2盒/份*30袋/盒*12g/袋，每份封样包装，封条上签署质量管理部门负责人并加盖企业公章，一份用于评标现场专家评测使用，另一份由采购方留存备查。 由评标专家横向评价各投标人样品的包装、色泽、气味、溶解性、 口感： 1、（1分）产品色泽：淡黄色或与所添加原料相符的色泽，色泽均匀， 粉末状的，得1分。如颜色暗沉或过于鲜艳，色泽不均，非粉末状得 0分。 2、（1分）产品气味：气味应属于新鲜豆粉味，或有乳粉香气的，得1分。 气味一般的，得0分。 3、（2分）产品冲调性：产品冲调后应能迅速溶解，无结块、无分层的，得2分；冲调性一般的，得1分；如冲调性差，放置后有明显结块或分层严重得0分。（注：冲调过稀在底部有棕色沉淀物为富马酸亚铁，属正常现象） 4、（1分）产品口感：应当口感细腻润滑，无粗糙或砂砾感，甜味适中的，得1分，如口感粗糙或过甜得0分。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营养包充氮防氧化措施</w:t>
            </w:r>
          </w:p>
        </w:tc>
        <w:tc>
          <w:tcPr>
            <w:tcW w:type="dxa" w:w="2492"/>
          </w:tcPr>
          <w:p>
            <w:pPr>
              <w:pStyle w:val="null3"/>
            </w:pPr>
            <w:r>
              <w:rPr>
                <w:rFonts w:ascii="仿宋_GB2312" w:hAnsi="仿宋_GB2312" w:cs="仿宋_GB2312" w:eastAsia="仿宋_GB2312"/>
              </w:rPr>
              <w:t>对投标人采取的充氮措施进行评价： 1、（1分）自制食品级氮气用于营养包充氮，防产品氧化，并获得食品添加剂氮气生产许可证，得1分，未提供的得0分。（提供相关生产许可证复印件并加盖公章）； 2、（1分）提供营养包残氧量检测结果小于3%的第三方检验机构报告的，得1分，未提供的得0分； 3、（1分）提供应用充氮措施的书面承诺，得1分，未提供的得 0分。 投标时承诺应用充氮措施的，中标后残氧量指标应列入相 应的采购合同，产品抽检时该指标一旦不符合，按不合格产品处置。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提供2022年以来，投标人在婴幼儿辅食营养补充品 (类似)项目政府采购活动中中标、成交次数排名第一的得3分， 排名第二的得2分，排名第三的得1分。 提供加盖投标人公章的中标通知书或完整合同复印件。（证明性文件中的中标人名称必须与投标人一致)。</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业绩响应表.docx</w:t>
            </w:r>
          </w:p>
        </w:tc>
      </w:tr>
      <w:tr>
        <w:tc>
          <w:tcPr>
            <w:tcW w:type="dxa" w:w="831"/>
            <w:vMerge/>
          </w:tcPr>
          <w:p/>
        </w:tc>
        <w:tc>
          <w:tcPr>
            <w:tcW w:type="dxa" w:w="1661"/>
          </w:tcPr>
          <w:p>
            <w:pPr>
              <w:pStyle w:val="null3"/>
            </w:pPr>
            <w:r>
              <w:rPr>
                <w:rFonts w:ascii="仿宋_GB2312" w:hAnsi="仿宋_GB2312" w:cs="仿宋_GB2312" w:eastAsia="仿宋_GB2312"/>
              </w:rPr>
              <w:t>宣传及培训方案</w:t>
            </w:r>
          </w:p>
        </w:tc>
        <w:tc>
          <w:tcPr>
            <w:tcW w:type="dxa" w:w="2492"/>
          </w:tcPr>
          <w:p>
            <w:pPr>
              <w:pStyle w:val="null3"/>
            </w:pPr>
            <w:r>
              <w:rPr>
                <w:rFonts w:ascii="仿宋_GB2312" w:hAnsi="仿宋_GB2312" w:cs="仿宋_GB2312" w:eastAsia="仿宋_GB2312"/>
              </w:rPr>
              <w:t>根据本项目要求，投标人提供相关宣传、培训方案，列出详细的宣传、培训内容、方式等说明，方案合理周到，内容详细全面，按其响应程度计1-5分。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其他要求响应表.docx</w:t>
            </w:r>
          </w:p>
          <w:p>
            <w:pPr>
              <w:pStyle w:val="null3"/>
            </w:pPr>
            <w:r>
              <w:rPr>
                <w:rFonts w:ascii="仿宋_GB2312" w:hAnsi="仿宋_GB2312" w:cs="仿宋_GB2312" w:eastAsia="仿宋_GB2312"/>
              </w:rPr>
              <w:t>宣传及培训方案.docx</w:t>
            </w:r>
          </w:p>
        </w:tc>
      </w:tr>
      <w:tr>
        <w:tc>
          <w:tcPr>
            <w:tcW w:type="dxa" w:w="831"/>
            <w:vMerge/>
          </w:tcPr>
          <w:p/>
        </w:tc>
        <w:tc>
          <w:tcPr>
            <w:tcW w:type="dxa" w:w="1661"/>
          </w:tcPr>
          <w:p>
            <w:pPr>
              <w:pStyle w:val="null3"/>
            </w:pPr>
            <w:r>
              <w:rPr>
                <w:rFonts w:ascii="仿宋_GB2312" w:hAnsi="仿宋_GB2312" w:cs="仿宋_GB2312" w:eastAsia="仿宋_GB2312"/>
              </w:rPr>
              <w:t>生产线异物控制能力</w:t>
            </w:r>
          </w:p>
        </w:tc>
        <w:tc>
          <w:tcPr>
            <w:tcW w:type="dxa" w:w="2492"/>
          </w:tcPr>
          <w:p>
            <w:pPr>
              <w:pStyle w:val="null3"/>
            </w:pPr>
            <w:r>
              <w:rPr>
                <w:rFonts w:ascii="仿宋_GB2312" w:hAnsi="仿宋_GB2312" w:cs="仿宋_GB2312" w:eastAsia="仿宋_GB2312"/>
              </w:rPr>
              <w:t xml:space="preserve"> 在营养包生产线上同时安装金属探测器和X光异物探测装置，得2分，只有1种得1分，没有不得分。 （提供安装位点的照片和购置机器的正式发票复印件加盖公章）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型式检验报告</w:t>
            </w:r>
          </w:p>
        </w:tc>
        <w:tc>
          <w:tcPr>
            <w:tcW w:type="dxa" w:w="2492"/>
          </w:tcPr>
          <w:p>
            <w:pPr>
              <w:pStyle w:val="null3"/>
            </w:pPr>
            <w:r>
              <w:rPr>
                <w:rFonts w:ascii="仿宋_GB2312" w:hAnsi="仿宋_GB2312" w:cs="仿宋_GB2312" w:eastAsia="仿宋_GB2312"/>
              </w:rPr>
              <w:t xml:space="preserve"> 投标人提供2024年以来由国家认可有资质的食品检验机构出具的型式检验报告，技术指标应符合本项目要求。提供3次及以上不同批次检验报告(每份报告出具日期间隔不少于5个月)得2分，2次得1分，1次不得分。（型式检验报告不符合项目营养包质量规定书中有关规定的，作为无效投标处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安全防御设施</w:t>
            </w:r>
          </w:p>
        </w:tc>
        <w:tc>
          <w:tcPr>
            <w:tcW w:type="dxa" w:w="2492"/>
          </w:tcPr>
          <w:p>
            <w:pPr>
              <w:pStyle w:val="null3"/>
            </w:pPr>
            <w:r>
              <w:rPr>
                <w:rFonts w:ascii="仿宋_GB2312" w:hAnsi="仿宋_GB2312" w:cs="仿宋_GB2312" w:eastAsia="仿宋_GB2312"/>
              </w:rPr>
              <w:t xml:space="preserve"> 生产车间、仓库(原辅料、包材和成品)有电子门禁， 且厂区、仓库、营养包生产过程有电子监控的得2分 否则不得分。 （提供《食品防御计划》及相应监视器照片）</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生产设备自动化</w:t>
            </w:r>
          </w:p>
        </w:tc>
        <w:tc>
          <w:tcPr>
            <w:tcW w:type="dxa" w:w="2492"/>
          </w:tcPr>
          <w:p>
            <w:pPr>
              <w:pStyle w:val="null3"/>
            </w:pPr>
            <w:r>
              <w:rPr>
                <w:rFonts w:ascii="仿宋_GB2312" w:hAnsi="仿宋_GB2312" w:cs="仿宋_GB2312" w:eastAsia="仿宋_GB2312"/>
              </w:rPr>
              <w:t>1、（2分）生产自动化程度高，从营养包原辅料投料至内包装全过程通过密闭管道粉体输送自动完成，得2分；有一定自动化，物料输送采用部分人工方式，得1分。 提供项目营养包生产从投料、筛分、混合到分装的流程图及设备照片。 2、（2分）内包装小袋标识的生产日期或批次，是在生产线上采用激光打码的，得1分；外盒采用激光打码或其他不可擦拭修改方式对生厂日期及批号进行标识的，得 1分。 评价样品，查看外盒和小袋上信息；查看激光打码机 在生产线上的位置图照片。 3、（1分）具有在线检出异物并自动剔除装置，以及重量不合格盒装产品自动剔除装置的生产线，得1分；其他不得分。提供设备照片。</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技术研发</w:t>
            </w:r>
          </w:p>
        </w:tc>
        <w:tc>
          <w:tcPr>
            <w:tcW w:type="dxa" w:w="2492"/>
          </w:tcPr>
          <w:p>
            <w:pPr>
              <w:pStyle w:val="null3"/>
            </w:pPr>
            <w:r>
              <w:rPr>
                <w:rFonts w:ascii="仿宋_GB2312" w:hAnsi="仿宋_GB2312" w:cs="仿宋_GB2312" w:eastAsia="仿宋_GB2312"/>
              </w:rPr>
              <w:t>1、（2分）所投产品的全项稳定性试验报告。实施稳定性试验批次的营养包中使用的I类速溶豆粉，其质量规格和生产企业应与所投产品一致，提供常温放置试验至少1年的稳定性报告和加速试验至少3个月的报告的，得2分，仅提供常温放置试验至少1年的稳定性报告的，得1分，仅提供加速试验至少3个月的报告得0.5分。 2、（1分）投标人获得国家级和省部级辅食营养补充品相关科研项目成果奖的，得1分（提供项目书、批复文件复印件等证明材料）。未提供不得分。 3、（1分）投标人获市级及以上高新技术企业证书的：提供高新技术企业证书复印件的，得1分，未提供不得分。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自行编制，格式不限.docx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详见附件：财务会计制度.docx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详见附件：供应商无重大违法记录书面声明函.docx</w:t>
      </w:r>
    </w:p>
    <w:p>
      <w:pPr>
        <w:pStyle w:val="null3"/>
        <w:ind w:firstLine="960"/>
      </w:pPr>
      <w:r>
        <w:rPr>
          <w:rFonts w:ascii="仿宋_GB2312" w:hAnsi="仿宋_GB2312" w:cs="仿宋_GB2312" w:eastAsia="仿宋_GB2312"/>
        </w:rPr>
        <w:t>详见附件：供应商信用记录书面声明函.docx</w:t>
      </w:r>
    </w:p>
    <w:p>
      <w:pPr>
        <w:pStyle w:val="null3"/>
        <w:ind w:firstLine="960"/>
      </w:pPr>
      <w:r>
        <w:rPr>
          <w:rFonts w:ascii="仿宋_GB2312" w:hAnsi="仿宋_GB2312" w:cs="仿宋_GB2312" w:eastAsia="仿宋_GB2312"/>
        </w:rPr>
        <w:t>详见附件：无一级召回或二级召回的书面声明.docx</w:t>
      </w:r>
    </w:p>
    <w:p>
      <w:pPr>
        <w:pStyle w:val="null3"/>
        <w:ind w:firstLine="960"/>
      </w:pPr>
      <w:r>
        <w:rPr>
          <w:rFonts w:ascii="仿宋_GB2312" w:hAnsi="仿宋_GB2312" w:cs="仿宋_GB2312" w:eastAsia="仿宋_GB2312"/>
        </w:rPr>
        <w:t>详见附件：产品技术参数响应表.docx</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详见附件：非联合体投标声明.docx</w:t>
      </w:r>
    </w:p>
    <w:p>
      <w:pPr>
        <w:pStyle w:val="null3"/>
        <w:ind w:firstLine="960"/>
      </w:pPr>
      <w:r>
        <w:rPr>
          <w:rFonts w:ascii="仿宋_GB2312" w:hAnsi="仿宋_GB2312" w:cs="仿宋_GB2312" w:eastAsia="仿宋_GB2312"/>
        </w:rPr>
        <w:t>详见附件：法定代表人身份证明、法定代表人授权委托书.docx</w:t>
      </w:r>
    </w:p>
    <w:p>
      <w:pPr>
        <w:pStyle w:val="null3"/>
        <w:ind w:firstLine="960"/>
      </w:pPr>
      <w:r>
        <w:rPr>
          <w:rFonts w:ascii="仿宋_GB2312" w:hAnsi="仿宋_GB2312" w:cs="仿宋_GB2312" w:eastAsia="仿宋_GB2312"/>
        </w:rPr>
        <w:t>详见附件：宣传及培训方案.docx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详见附件：产品配送保障.docx</w:t>
      </w:r>
    </w:p>
    <w:p>
      <w:pPr>
        <w:pStyle w:val="null3"/>
        <w:ind w:firstLine="960"/>
      </w:pPr>
      <w:r>
        <w:rPr>
          <w:rFonts w:ascii="仿宋_GB2312" w:hAnsi="仿宋_GB2312" w:cs="仿宋_GB2312" w:eastAsia="仿宋_GB2312"/>
        </w:rPr>
        <w:t>详见附件：自行编制，格式不限.docx</w:t>
      </w:r>
    </w:p>
    <w:p>
      <w:pPr>
        <w:pStyle w:val="null3"/>
        <w:ind w:firstLine="960"/>
      </w:pPr>
      <w:r>
        <w:rPr>
          <w:rFonts w:ascii="仿宋_GB2312" w:hAnsi="仿宋_GB2312" w:cs="仿宋_GB2312" w:eastAsia="仿宋_GB2312"/>
        </w:rPr>
        <w:t>详见附件：其他要求响应表.docx</w:t>
      </w:r>
    </w:p>
    <w:p>
      <w:pPr>
        <w:pStyle w:val="null3"/>
        <w:ind w:firstLine="960"/>
      </w:pPr>
      <w:r>
        <w:rPr>
          <w:rFonts w:ascii="仿宋_GB2312" w:hAnsi="仿宋_GB2312" w:cs="仿宋_GB2312" w:eastAsia="仿宋_GB2312"/>
        </w:rPr>
        <w:t>详见附件：商务应答响应表.docx</w:t>
      </w:r>
    </w:p>
    <w:p>
      <w:pPr>
        <w:pStyle w:val="null3"/>
        <w:ind w:firstLine="960"/>
      </w:pPr>
      <w:r>
        <w:rPr>
          <w:rFonts w:ascii="仿宋_GB2312" w:hAnsi="仿宋_GB2312" w:cs="仿宋_GB2312" w:eastAsia="仿宋_GB2312"/>
        </w:rPr>
        <w:t>详见附件：业绩响应表.docx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详见附件：营养包合同文本.docx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