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F6E76">
      <w:pPr>
        <w:autoSpaceDE w:val="0"/>
        <w:autoSpaceDN w:val="0"/>
        <w:adjustRightInd w:val="0"/>
        <w:snapToGrid w:val="0"/>
        <w:spacing w:line="520" w:lineRule="exact"/>
        <w:ind w:firstLine="560" w:firstLineChars="200"/>
        <w:jc w:val="center"/>
        <w:rPr>
          <w:rFonts w:ascii="仿宋_GB2312" w:hAnsi="仿宋" w:eastAsia="仿宋_GB2312"/>
          <w:sz w:val="28"/>
          <w:szCs w:val="28"/>
          <w:lang w:val="zh-CN"/>
        </w:rPr>
      </w:pPr>
    </w:p>
    <w:p w14:paraId="4C213AD5">
      <w:pPr>
        <w:autoSpaceDE w:val="0"/>
        <w:autoSpaceDN w:val="0"/>
        <w:adjustRightInd w:val="0"/>
        <w:snapToGrid w:val="0"/>
        <w:spacing w:line="520" w:lineRule="exact"/>
        <w:ind w:firstLine="560" w:firstLineChars="200"/>
        <w:jc w:val="center"/>
        <w:rPr>
          <w:rFonts w:ascii="仿宋_GB2312" w:hAnsi="仿宋" w:eastAsia="仿宋_GB2312"/>
          <w:sz w:val="28"/>
          <w:szCs w:val="28"/>
          <w:lang w:val="zh-CN"/>
        </w:rPr>
      </w:pPr>
    </w:p>
    <w:p w14:paraId="4145A7E4">
      <w:pPr>
        <w:jc w:val="center"/>
        <w:rPr>
          <w:rFonts w:hint="eastAsia" w:ascii="宋体" w:hAnsi="宋体"/>
          <w:b/>
          <w:sz w:val="44"/>
          <w:szCs w:val="44"/>
        </w:rPr>
      </w:pPr>
      <w:r>
        <w:rPr>
          <w:rFonts w:hint="eastAsia" w:ascii="宋体" w:hAnsi="宋体"/>
          <w:b/>
          <w:sz w:val="44"/>
          <w:szCs w:val="44"/>
        </w:rPr>
        <w:t>渭南市卫生健康委员会</w:t>
      </w:r>
    </w:p>
    <w:p w14:paraId="71ACF61E">
      <w:pPr>
        <w:jc w:val="center"/>
        <w:rPr>
          <w:rFonts w:hint="eastAsia" w:ascii="宋体" w:hAnsi="宋体"/>
          <w:b/>
          <w:sz w:val="44"/>
          <w:szCs w:val="44"/>
        </w:rPr>
      </w:pPr>
      <w:r>
        <w:rPr>
          <w:rFonts w:hint="eastAsia" w:ascii="宋体" w:hAnsi="宋体"/>
          <w:b/>
          <w:sz w:val="44"/>
          <w:szCs w:val="44"/>
        </w:rPr>
        <w:t>增补叶酸预防神经管缺陷项目</w:t>
      </w:r>
    </w:p>
    <w:p w14:paraId="3686A624">
      <w:pPr>
        <w:jc w:val="center"/>
        <w:rPr>
          <w:rFonts w:ascii="宋体" w:hAnsi="宋体"/>
          <w:b/>
          <w:sz w:val="44"/>
          <w:szCs w:val="44"/>
        </w:rPr>
      </w:pPr>
      <w:r>
        <w:rPr>
          <w:rFonts w:hint="eastAsia" w:ascii="宋体" w:hAnsi="宋体"/>
          <w:b/>
          <w:sz w:val="44"/>
          <w:szCs w:val="44"/>
        </w:rPr>
        <w:t>合 同 书</w:t>
      </w:r>
    </w:p>
    <w:p w14:paraId="05A9CA11">
      <w:pPr>
        <w:jc w:val="center"/>
        <w:rPr>
          <w:rFonts w:ascii="宋体" w:hAnsi="宋体"/>
          <w:b/>
          <w:sz w:val="48"/>
          <w:szCs w:val="48"/>
        </w:rPr>
      </w:pPr>
    </w:p>
    <w:p w14:paraId="6BDF437E">
      <w:pPr>
        <w:jc w:val="center"/>
        <w:rPr>
          <w:rFonts w:ascii="宋体" w:hAnsi="宋体"/>
          <w:b/>
          <w:sz w:val="48"/>
          <w:szCs w:val="48"/>
        </w:rPr>
      </w:pPr>
    </w:p>
    <w:p w14:paraId="5406C990">
      <w:pPr>
        <w:jc w:val="center"/>
        <w:rPr>
          <w:rFonts w:ascii="宋体" w:hAnsi="宋体"/>
          <w:b/>
          <w:sz w:val="48"/>
          <w:szCs w:val="48"/>
        </w:rPr>
      </w:pPr>
    </w:p>
    <w:p w14:paraId="5C88927A">
      <w:pPr>
        <w:autoSpaceDE w:val="0"/>
        <w:autoSpaceDN w:val="0"/>
        <w:adjustRightInd w:val="0"/>
        <w:snapToGrid w:val="0"/>
        <w:spacing w:line="360" w:lineRule="auto"/>
        <w:ind w:firstLine="1928" w:firstLineChars="600"/>
        <w:rPr>
          <w:rFonts w:ascii="仿宋" w:hAnsi="仿宋" w:eastAsia="仿宋"/>
          <w:b/>
          <w:sz w:val="32"/>
          <w:szCs w:val="32"/>
        </w:rPr>
      </w:pPr>
      <w:r>
        <w:rPr>
          <w:rFonts w:hint="eastAsia" w:ascii="仿宋" w:hAnsi="仿宋" w:eastAsia="仿宋"/>
          <w:b/>
          <w:sz w:val="32"/>
          <w:szCs w:val="32"/>
        </w:rPr>
        <w:t>合同编号：</w:t>
      </w:r>
    </w:p>
    <w:p w14:paraId="6DD8AA30">
      <w:pPr>
        <w:autoSpaceDE w:val="0"/>
        <w:autoSpaceDN w:val="0"/>
        <w:adjustRightInd w:val="0"/>
        <w:snapToGrid w:val="0"/>
        <w:spacing w:line="360" w:lineRule="auto"/>
        <w:jc w:val="center"/>
        <w:outlineLvl w:val="0"/>
        <w:rPr>
          <w:rFonts w:ascii="宋体" w:hAnsi="宋体"/>
          <w:b/>
          <w:bCs/>
          <w:sz w:val="30"/>
          <w:szCs w:val="30"/>
        </w:rPr>
      </w:pPr>
    </w:p>
    <w:p w14:paraId="3F84D45E">
      <w:pPr>
        <w:jc w:val="center"/>
        <w:rPr>
          <w:rFonts w:ascii="仿宋" w:hAnsi="仿宋" w:eastAsia="仿宋"/>
          <w:b/>
          <w:sz w:val="32"/>
          <w:szCs w:val="32"/>
        </w:rPr>
      </w:pPr>
    </w:p>
    <w:p w14:paraId="4A9720B3">
      <w:pPr>
        <w:rPr>
          <w:rFonts w:ascii="仿宋" w:hAnsi="仿宋" w:eastAsia="仿宋"/>
          <w:b/>
        </w:rPr>
      </w:pPr>
    </w:p>
    <w:p w14:paraId="6EF3FD44">
      <w:pPr>
        <w:rPr>
          <w:rFonts w:ascii="仿宋" w:hAnsi="仿宋" w:eastAsia="仿宋"/>
          <w:b/>
        </w:rPr>
      </w:pPr>
    </w:p>
    <w:p w14:paraId="440FF5F9">
      <w:pPr>
        <w:rPr>
          <w:rFonts w:ascii="仿宋" w:hAnsi="仿宋" w:eastAsia="仿宋"/>
          <w:b/>
        </w:rPr>
      </w:pPr>
    </w:p>
    <w:p w14:paraId="06F28569">
      <w:pPr>
        <w:rPr>
          <w:rFonts w:ascii="仿宋" w:hAnsi="仿宋" w:eastAsia="仿宋"/>
          <w:b/>
        </w:rPr>
      </w:pPr>
    </w:p>
    <w:p w14:paraId="22DD8252">
      <w:pPr>
        <w:rPr>
          <w:rFonts w:ascii="仿宋" w:hAnsi="仿宋" w:eastAsia="仿宋"/>
          <w:b/>
          <w:sz w:val="48"/>
          <w:szCs w:val="48"/>
        </w:rPr>
      </w:pPr>
    </w:p>
    <w:p w14:paraId="47FAA596">
      <w:pPr>
        <w:rPr>
          <w:rFonts w:ascii="仿宋" w:hAnsi="仿宋" w:eastAsia="仿宋"/>
          <w:b/>
          <w:sz w:val="48"/>
          <w:szCs w:val="48"/>
        </w:rPr>
      </w:pPr>
    </w:p>
    <w:p w14:paraId="3FD13E63">
      <w:pPr>
        <w:rPr>
          <w:rFonts w:ascii="仿宋" w:hAnsi="仿宋" w:eastAsia="仿宋"/>
          <w:b/>
          <w:sz w:val="48"/>
          <w:szCs w:val="48"/>
        </w:rPr>
      </w:pPr>
    </w:p>
    <w:p w14:paraId="6641F81E">
      <w:pPr>
        <w:rPr>
          <w:rFonts w:ascii="仿宋" w:hAnsi="仿宋" w:eastAsia="仿宋"/>
          <w:b/>
          <w:sz w:val="48"/>
          <w:szCs w:val="48"/>
        </w:rPr>
      </w:pPr>
    </w:p>
    <w:p w14:paraId="7270AC28">
      <w:pPr>
        <w:rPr>
          <w:rFonts w:ascii="仿宋" w:hAnsi="仿宋" w:eastAsia="仿宋"/>
          <w:b/>
          <w:sz w:val="48"/>
          <w:szCs w:val="48"/>
        </w:rPr>
      </w:pPr>
    </w:p>
    <w:p w14:paraId="0B74FF0A">
      <w:pPr>
        <w:spacing w:line="680" w:lineRule="exact"/>
        <w:ind w:firstLine="1269" w:firstLineChars="395"/>
        <w:rPr>
          <w:rFonts w:ascii="仿宋" w:hAnsi="仿宋" w:eastAsia="仿宋"/>
          <w:b/>
          <w:sz w:val="32"/>
          <w:szCs w:val="32"/>
        </w:rPr>
      </w:pPr>
      <w:r>
        <w:rPr>
          <w:rFonts w:hint="eastAsia" w:ascii="仿宋" w:hAnsi="仿宋" w:eastAsia="仿宋"/>
          <w:b/>
          <w:sz w:val="32"/>
          <w:szCs w:val="32"/>
        </w:rPr>
        <w:t xml:space="preserve">甲  方：渭南市卫生健康委员会 </w:t>
      </w:r>
    </w:p>
    <w:p w14:paraId="4E71A7EC">
      <w:pPr>
        <w:spacing w:line="680" w:lineRule="exact"/>
        <w:ind w:firstLine="1285" w:firstLineChars="400"/>
        <w:rPr>
          <w:rFonts w:ascii="仿宋" w:hAnsi="仿宋" w:eastAsia="仿宋"/>
          <w:b/>
          <w:sz w:val="48"/>
          <w:szCs w:val="48"/>
        </w:rPr>
      </w:pPr>
      <w:r>
        <w:rPr>
          <w:rFonts w:hint="eastAsia" w:ascii="仿宋" w:hAnsi="仿宋" w:eastAsia="仿宋"/>
          <w:b/>
          <w:sz w:val="32"/>
          <w:szCs w:val="32"/>
        </w:rPr>
        <w:t>乙  方：</w:t>
      </w:r>
    </w:p>
    <w:p w14:paraId="71EE02F6">
      <w:pPr>
        <w:tabs>
          <w:tab w:val="left" w:pos="1995"/>
        </w:tabs>
        <w:spacing w:line="680" w:lineRule="exact"/>
        <w:ind w:firstLine="1269" w:firstLineChars="395"/>
        <w:rPr>
          <w:rFonts w:ascii="仿宋" w:hAnsi="仿宋" w:eastAsia="仿宋"/>
          <w:b/>
          <w:sz w:val="32"/>
          <w:szCs w:val="32"/>
        </w:rPr>
      </w:pPr>
      <w:r>
        <w:rPr>
          <w:rFonts w:hint="eastAsia" w:ascii="仿宋" w:hAnsi="仿宋" w:eastAsia="仿宋"/>
          <w:b/>
          <w:sz w:val="32"/>
          <w:szCs w:val="32"/>
        </w:rPr>
        <w:t>签订时间：202</w:t>
      </w:r>
      <w:r>
        <w:rPr>
          <w:rFonts w:hint="eastAsia" w:ascii="仿宋" w:hAnsi="仿宋" w:eastAsia="仿宋"/>
          <w:b/>
          <w:sz w:val="32"/>
          <w:szCs w:val="32"/>
          <w:lang w:val="en-US" w:eastAsia="zh-CN"/>
        </w:rPr>
        <w:t>5</w:t>
      </w:r>
      <w:r>
        <w:rPr>
          <w:rFonts w:hint="eastAsia" w:ascii="仿宋" w:hAnsi="仿宋" w:eastAsia="仿宋"/>
          <w:b/>
          <w:sz w:val="32"/>
          <w:szCs w:val="32"/>
        </w:rPr>
        <w:t>年 月</w:t>
      </w:r>
    </w:p>
    <w:p w14:paraId="606B8C6A">
      <w:pPr>
        <w:autoSpaceDE w:val="0"/>
        <w:autoSpaceDN w:val="0"/>
        <w:adjustRightInd w:val="0"/>
        <w:snapToGrid w:val="0"/>
        <w:spacing w:line="480" w:lineRule="auto"/>
        <w:ind w:firstLine="560" w:firstLineChars="200"/>
        <w:rPr>
          <w:rFonts w:hint="eastAsia" w:ascii="仿宋" w:hAnsi="仿宋" w:eastAsia="仿宋"/>
          <w:sz w:val="28"/>
          <w:szCs w:val="28"/>
          <w:lang w:val="zh-CN"/>
        </w:rPr>
      </w:pPr>
    </w:p>
    <w:p w14:paraId="063CFC1C">
      <w:pPr>
        <w:pStyle w:val="4"/>
        <w:spacing w:after="100" w:line="360" w:lineRule="auto"/>
        <w:ind w:firstLine="640" w:firstLineChars="200"/>
        <w:jc w:val="both"/>
        <w:rPr>
          <w:rFonts w:ascii="仿宋" w:hAnsi="仿宋" w:eastAsia="仿宋"/>
          <w:sz w:val="32"/>
          <w:szCs w:val="32"/>
        </w:rPr>
      </w:pPr>
      <w:r>
        <w:rPr>
          <w:rFonts w:hint="eastAsia" w:ascii="仿宋" w:hAnsi="仿宋" w:eastAsia="仿宋"/>
          <w:sz w:val="32"/>
          <w:szCs w:val="32"/>
        </w:rPr>
        <w:t>渭南市政府采购中心202</w:t>
      </w:r>
      <w:r>
        <w:rPr>
          <w:rFonts w:hint="eastAsia" w:ascii="仿宋" w:hAnsi="仿宋" w:eastAsia="仿宋"/>
          <w:sz w:val="32"/>
          <w:szCs w:val="32"/>
          <w:lang w:val="en-US" w:eastAsia="zh-CN"/>
        </w:rPr>
        <w:t>5</w:t>
      </w:r>
      <w:r>
        <w:rPr>
          <w:rFonts w:hint="eastAsia" w:ascii="仿宋" w:hAnsi="仿宋" w:eastAsia="仿宋"/>
          <w:sz w:val="32"/>
          <w:szCs w:val="32"/>
        </w:rPr>
        <w:t>年   月   日，在渭南市市民综合服务中心组织的渭南市卫生健康委员会增补叶酸预防神经管缺陷项目采购活动中，</w:t>
      </w:r>
      <w:r>
        <w:rPr>
          <w:rFonts w:hint="eastAsia" w:ascii="仿宋" w:hAnsi="仿宋" w:eastAsia="仿宋"/>
          <w:sz w:val="32"/>
          <w:szCs w:val="32"/>
          <w:u w:val="single"/>
        </w:rPr>
        <w:t xml:space="preserve">             </w:t>
      </w:r>
      <w:r>
        <w:rPr>
          <w:rFonts w:hint="eastAsia" w:ascii="仿宋" w:hAnsi="仿宋" w:eastAsia="仿宋"/>
          <w:sz w:val="32"/>
          <w:szCs w:val="32"/>
        </w:rPr>
        <w:t>公司为中标供应商，现就有关事宜协议如下：</w:t>
      </w:r>
    </w:p>
    <w:p w14:paraId="4C3957DC">
      <w:pPr>
        <w:pStyle w:val="5"/>
        <w:rPr>
          <w:rFonts w:ascii="仿宋" w:hAnsi="仿宋" w:eastAsia="仿宋"/>
          <w:sz w:val="28"/>
          <w:szCs w:val="28"/>
        </w:rPr>
      </w:pPr>
      <w:r>
        <w:rPr>
          <w:rFonts w:hint="eastAsia" w:ascii="仿宋" w:hAnsi="仿宋" w:eastAsia="仿宋" w:cs="宋体"/>
          <w:b/>
          <w:bCs/>
          <w:sz w:val="28"/>
          <w:szCs w:val="28"/>
        </w:rPr>
        <w:t>一、所需货物名称、规格、数量及价格</w:t>
      </w:r>
    </w:p>
    <w:tbl>
      <w:tblPr>
        <w:tblStyle w:val="2"/>
        <w:tblpPr/>
        <w:tblOverlap w:val="never"/>
        <w:tblW w:w="8527" w:type="dxa"/>
        <w:jc w:val="center"/>
        <w:tblLayout w:type="fixed"/>
        <w:tblCellMar>
          <w:top w:w="0" w:type="dxa"/>
          <w:left w:w="10" w:type="dxa"/>
          <w:bottom w:w="0" w:type="dxa"/>
          <w:right w:w="10" w:type="dxa"/>
        </w:tblCellMar>
      </w:tblPr>
      <w:tblGrid>
        <w:gridCol w:w="941"/>
        <w:gridCol w:w="720"/>
        <w:gridCol w:w="917"/>
        <w:gridCol w:w="1200"/>
        <w:gridCol w:w="1613"/>
        <w:gridCol w:w="1435"/>
        <w:gridCol w:w="1701"/>
      </w:tblGrid>
      <w:tr w14:paraId="4D92E387">
        <w:tblPrEx>
          <w:tblCellMar>
            <w:top w:w="0" w:type="dxa"/>
            <w:left w:w="10" w:type="dxa"/>
            <w:bottom w:w="0" w:type="dxa"/>
            <w:right w:w="10" w:type="dxa"/>
          </w:tblCellMar>
        </w:tblPrEx>
        <w:trPr>
          <w:trHeight w:val="864" w:hRule="exact"/>
          <w:jc w:val="center"/>
        </w:trPr>
        <w:tc>
          <w:tcPr>
            <w:tcW w:w="941" w:type="dxa"/>
            <w:tcBorders>
              <w:top w:val="single" w:color="auto" w:sz="4" w:space="0"/>
              <w:left w:val="single" w:color="auto" w:sz="4" w:space="0"/>
            </w:tcBorders>
            <w:shd w:val="clear" w:color="auto" w:fill="auto"/>
            <w:noWrap w:val="0"/>
            <w:vAlign w:val="center"/>
          </w:tcPr>
          <w:p w14:paraId="35474CB9">
            <w:pPr>
              <w:pStyle w:val="6"/>
              <w:spacing w:line="240" w:lineRule="auto"/>
              <w:ind w:firstLine="0"/>
              <w:jc w:val="center"/>
            </w:pPr>
            <w:r>
              <w:t>序号</w:t>
            </w:r>
          </w:p>
        </w:tc>
        <w:tc>
          <w:tcPr>
            <w:tcW w:w="1637" w:type="dxa"/>
            <w:gridSpan w:val="2"/>
            <w:tcBorders>
              <w:top w:val="single" w:color="auto" w:sz="4" w:space="0"/>
              <w:left w:val="single" w:color="auto" w:sz="4" w:space="0"/>
            </w:tcBorders>
            <w:shd w:val="clear" w:color="auto" w:fill="auto"/>
            <w:noWrap w:val="0"/>
            <w:vAlign w:val="center"/>
          </w:tcPr>
          <w:p w14:paraId="7301329F">
            <w:pPr>
              <w:pStyle w:val="6"/>
              <w:spacing w:line="240" w:lineRule="auto"/>
              <w:ind w:firstLine="0"/>
              <w:jc w:val="center"/>
            </w:pPr>
            <w:r>
              <w:t>产品名称</w:t>
            </w:r>
          </w:p>
        </w:tc>
        <w:tc>
          <w:tcPr>
            <w:tcW w:w="1200" w:type="dxa"/>
            <w:tcBorders>
              <w:top w:val="single" w:color="auto" w:sz="4" w:space="0"/>
              <w:left w:val="single" w:color="auto" w:sz="4" w:space="0"/>
            </w:tcBorders>
            <w:shd w:val="clear" w:color="auto" w:fill="auto"/>
            <w:noWrap w:val="0"/>
            <w:vAlign w:val="center"/>
          </w:tcPr>
          <w:p w14:paraId="5503B8CB">
            <w:pPr>
              <w:pStyle w:val="6"/>
              <w:spacing w:line="240" w:lineRule="auto"/>
              <w:ind w:firstLine="0"/>
              <w:jc w:val="center"/>
            </w:pPr>
            <w:r>
              <w:t>规格</w:t>
            </w:r>
          </w:p>
        </w:tc>
        <w:tc>
          <w:tcPr>
            <w:tcW w:w="1613" w:type="dxa"/>
            <w:tcBorders>
              <w:top w:val="single" w:color="auto" w:sz="4" w:space="0"/>
              <w:left w:val="single" w:color="auto" w:sz="4" w:space="0"/>
            </w:tcBorders>
            <w:shd w:val="clear" w:color="auto" w:fill="auto"/>
            <w:noWrap w:val="0"/>
            <w:vAlign w:val="center"/>
          </w:tcPr>
          <w:p w14:paraId="46EA3419">
            <w:pPr>
              <w:pStyle w:val="6"/>
              <w:spacing w:after="200" w:line="240" w:lineRule="auto"/>
              <w:ind w:firstLine="0"/>
              <w:jc w:val="center"/>
            </w:pPr>
            <w:r>
              <w:t>单价</w:t>
            </w:r>
          </w:p>
          <w:p w14:paraId="0D1BC51B">
            <w:pPr>
              <w:pStyle w:val="6"/>
              <w:spacing w:line="240" w:lineRule="auto"/>
              <w:ind w:firstLine="0"/>
              <w:jc w:val="center"/>
            </w:pPr>
            <w:r>
              <w:t>元/</w:t>
            </w:r>
            <w:r>
              <w:rPr>
                <w:rFonts w:hint="eastAsia"/>
              </w:rPr>
              <w:t>瓶（板、盒</w:t>
            </w:r>
            <w:r>
              <w:t>））</w:t>
            </w:r>
          </w:p>
        </w:tc>
        <w:tc>
          <w:tcPr>
            <w:tcW w:w="1435" w:type="dxa"/>
            <w:tcBorders>
              <w:top w:val="single" w:color="auto" w:sz="4" w:space="0"/>
              <w:left w:val="single" w:color="auto" w:sz="4" w:space="0"/>
            </w:tcBorders>
            <w:shd w:val="clear" w:color="auto" w:fill="auto"/>
            <w:noWrap w:val="0"/>
            <w:vAlign w:val="center"/>
          </w:tcPr>
          <w:p w14:paraId="14EDF301">
            <w:pPr>
              <w:pStyle w:val="6"/>
              <w:spacing w:line="240" w:lineRule="auto"/>
              <w:ind w:firstLine="0"/>
              <w:jc w:val="center"/>
            </w:pPr>
            <w:r>
              <w:t>数量</w:t>
            </w:r>
          </w:p>
        </w:tc>
        <w:tc>
          <w:tcPr>
            <w:tcW w:w="1701" w:type="dxa"/>
            <w:tcBorders>
              <w:top w:val="single" w:color="auto" w:sz="4" w:space="0"/>
              <w:left w:val="single" w:color="auto" w:sz="4" w:space="0"/>
              <w:right w:val="single" w:color="auto" w:sz="4" w:space="0"/>
            </w:tcBorders>
            <w:shd w:val="clear" w:color="auto" w:fill="auto"/>
            <w:noWrap w:val="0"/>
            <w:vAlign w:val="center"/>
          </w:tcPr>
          <w:p w14:paraId="25DDFD3C">
            <w:pPr>
              <w:pStyle w:val="6"/>
              <w:spacing w:line="240" w:lineRule="auto"/>
              <w:ind w:firstLine="0"/>
              <w:jc w:val="center"/>
            </w:pPr>
            <w:r>
              <w:t>合计（元）</w:t>
            </w:r>
          </w:p>
        </w:tc>
      </w:tr>
      <w:tr w14:paraId="4C5FC581">
        <w:tblPrEx>
          <w:tblCellMar>
            <w:top w:w="0" w:type="dxa"/>
            <w:left w:w="10" w:type="dxa"/>
            <w:bottom w:w="0" w:type="dxa"/>
            <w:right w:w="10" w:type="dxa"/>
          </w:tblCellMar>
        </w:tblPrEx>
        <w:trPr>
          <w:trHeight w:val="723" w:hRule="exact"/>
          <w:jc w:val="center"/>
        </w:trPr>
        <w:tc>
          <w:tcPr>
            <w:tcW w:w="941" w:type="dxa"/>
            <w:tcBorders>
              <w:top w:val="single" w:color="auto" w:sz="4" w:space="0"/>
              <w:left w:val="single" w:color="auto" w:sz="4" w:space="0"/>
            </w:tcBorders>
            <w:shd w:val="clear" w:color="auto" w:fill="auto"/>
            <w:noWrap w:val="0"/>
            <w:vAlign w:val="center"/>
          </w:tcPr>
          <w:p w14:paraId="4A42D53A">
            <w:pPr>
              <w:pStyle w:val="6"/>
              <w:spacing w:line="240" w:lineRule="auto"/>
              <w:ind w:firstLine="0"/>
              <w:jc w:val="center"/>
            </w:pPr>
            <w:r>
              <w:t>1</w:t>
            </w:r>
          </w:p>
        </w:tc>
        <w:tc>
          <w:tcPr>
            <w:tcW w:w="1637" w:type="dxa"/>
            <w:gridSpan w:val="2"/>
            <w:tcBorders>
              <w:top w:val="single" w:color="auto" w:sz="4" w:space="0"/>
              <w:left w:val="single" w:color="auto" w:sz="4" w:space="0"/>
            </w:tcBorders>
            <w:shd w:val="clear" w:color="auto" w:fill="auto"/>
            <w:noWrap w:val="0"/>
            <w:vAlign w:val="center"/>
          </w:tcPr>
          <w:p w14:paraId="6273977C">
            <w:pPr>
              <w:pStyle w:val="6"/>
              <w:spacing w:line="389" w:lineRule="exact"/>
              <w:ind w:firstLine="0"/>
              <w:jc w:val="center"/>
              <w:rPr>
                <w:rFonts w:hint="eastAsia" w:eastAsia="宋体"/>
              </w:rPr>
            </w:pPr>
          </w:p>
        </w:tc>
        <w:tc>
          <w:tcPr>
            <w:tcW w:w="1200" w:type="dxa"/>
            <w:tcBorders>
              <w:top w:val="single" w:color="auto" w:sz="4" w:space="0"/>
              <w:left w:val="single" w:color="auto" w:sz="4" w:space="0"/>
            </w:tcBorders>
            <w:shd w:val="clear" w:color="auto" w:fill="auto"/>
            <w:noWrap w:val="0"/>
            <w:vAlign w:val="top"/>
          </w:tcPr>
          <w:p w14:paraId="20D6B51C">
            <w:pPr>
              <w:rPr>
                <w:sz w:val="24"/>
                <w:szCs w:val="24"/>
              </w:rPr>
            </w:pPr>
          </w:p>
        </w:tc>
        <w:tc>
          <w:tcPr>
            <w:tcW w:w="1613" w:type="dxa"/>
            <w:tcBorders>
              <w:top w:val="single" w:color="auto" w:sz="4" w:space="0"/>
              <w:left w:val="single" w:color="auto" w:sz="4" w:space="0"/>
            </w:tcBorders>
            <w:shd w:val="clear" w:color="auto" w:fill="auto"/>
            <w:noWrap w:val="0"/>
            <w:vAlign w:val="top"/>
          </w:tcPr>
          <w:p w14:paraId="4382F872">
            <w:pPr>
              <w:rPr>
                <w:sz w:val="24"/>
                <w:szCs w:val="24"/>
              </w:rPr>
            </w:pPr>
          </w:p>
        </w:tc>
        <w:tc>
          <w:tcPr>
            <w:tcW w:w="1435" w:type="dxa"/>
            <w:tcBorders>
              <w:top w:val="single" w:color="auto" w:sz="4" w:space="0"/>
              <w:left w:val="single" w:color="auto" w:sz="4" w:space="0"/>
            </w:tcBorders>
            <w:shd w:val="clear" w:color="auto" w:fill="auto"/>
            <w:noWrap w:val="0"/>
            <w:vAlign w:val="top"/>
          </w:tcPr>
          <w:p w14:paraId="7A748443">
            <w:pPr>
              <w:rPr>
                <w:sz w:val="10"/>
                <w:szCs w:val="10"/>
              </w:rPr>
            </w:pPr>
          </w:p>
        </w:tc>
        <w:tc>
          <w:tcPr>
            <w:tcW w:w="1701" w:type="dxa"/>
            <w:tcBorders>
              <w:top w:val="single" w:color="auto" w:sz="4" w:space="0"/>
              <w:left w:val="single" w:color="auto" w:sz="4" w:space="0"/>
              <w:right w:val="single" w:color="auto" w:sz="4" w:space="0"/>
            </w:tcBorders>
            <w:shd w:val="clear" w:color="auto" w:fill="auto"/>
            <w:noWrap w:val="0"/>
            <w:vAlign w:val="top"/>
          </w:tcPr>
          <w:p w14:paraId="256F6F5E">
            <w:pPr>
              <w:rPr>
                <w:sz w:val="10"/>
                <w:szCs w:val="10"/>
              </w:rPr>
            </w:pPr>
          </w:p>
        </w:tc>
      </w:tr>
      <w:tr w14:paraId="4609D51A">
        <w:tblPrEx>
          <w:tblCellMar>
            <w:top w:w="0" w:type="dxa"/>
            <w:left w:w="10" w:type="dxa"/>
            <w:bottom w:w="0" w:type="dxa"/>
            <w:right w:w="10" w:type="dxa"/>
          </w:tblCellMar>
        </w:tblPrEx>
        <w:trPr>
          <w:trHeight w:val="600" w:hRule="exact"/>
          <w:jc w:val="center"/>
        </w:trPr>
        <w:tc>
          <w:tcPr>
            <w:tcW w:w="1661" w:type="dxa"/>
            <w:gridSpan w:val="2"/>
            <w:vMerge w:val="restart"/>
            <w:tcBorders>
              <w:top w:val="single" w:color="auto" w:sz="4" w:space="0"/>
              <w:left w:val="single" w:color="auto" w:sz="4" w:space="0"/>
            </w:tcBorders>
            <w:shd w:val="clear" w:color="auto" w:fill="auto"/>
            <w:noWrap w:val="0"/>
            <w:vAlign w:val="center"/>
          </w:tcPr>
          <w:p w14:paraId="3BD2668E">
            <w:pPr>
              <w:pStyle w:val="6"/>
              <w:spacing w:after="200" w:line="240" w:lineRule="auto"/>
              <w:ind w:firstLine="0"/>
              <w:jc w:val="center"/>
            </w:pPr>
            <w:r>
              <w:t>合同</w:t>
            </w:r>
          </w:p>
          <w:p w14:paraId="78D6198D">
            <w:pPr>
              <w:pStyle w:val="6"/>
              <w:spacing w:line="240" w:lineRule="auto"/>
              <w:ind w:firstLine="0"/>
              <w:jc w:val="center"/>
            </w:pPr>
            <w:r>
              <w:t>总金额</w:t>
            </w:r>
          </w:p>
        </w:tc>
        <w:tc>
          <w:tcPr>
            <w:tcW w:w="6866" w:type="dxa"/>
            <w:gridSpan w:val="5"/>
            <w:tcBorders>
              <w:top w:val="single" w:color="auto" w:sz="4" w:space="0"/>
              <w:left w:val="single" w:color="auto" w:sz="4" w:space="0"/>
              <w:right w:val="single" w:color="auto" w:sz="4" w:space="0"/>
            </w:tcBorders>
            <w:shd w:val="clear" w:color="auto" w:fill="auto"/>
            <w:noWrap w:val="0"/>
            <w:vAlign w:val="center"/>
          </w:tcPr>
          <w:p w14:paraId="476BCC96">
            <w:pPr>
              <w:pStyle w:val="6"/>
              <w:spacing w:line="240" w:lineRule="auto"/>
              <w:ind w:firstLine="0"/>
            </w:pPr>
            <w:r>
              <w:t>人民币元（小写）：</w:t>
            </w:r>
          </w:p>
        </w:tc>
      </w:tr>
      <w:tr w14:paraId="7DEEEB1D">
        <w:tblPrEx>
          <w:tblCellMar>
            <w:top w:w="0" w:type="dxa"/>
            <w:left w:w="10" w:type="dxa"/>
            <w:bottom w:w="0" w:type="dxa"/>
            <w:right w:w="10" w:type="dxa"/>
          </w:tblCellMar>
        </w:tblPrEx>
        <w:trPr>
          <w:trHeight w:val="624" w:hRule="exact"/>
          <w:jc w:val="center"/>
        </w:trPr>
        <w:tc>
          <w:tcPr>
            <w:tcW w:w="1661" w:type="dxa"/>
            <w:gridSpan w:val="2"/>
            <w:vMerge w:val="continue"/>
            <w:tcBorders>
              <w:left w:val="single" w:color="auto" w:sz="4" w:space="0"/>
              <w:bottom w:val="single" w:color="auto" w:sz="4" w:space="0"/>
            </w:tcBorders>
            <w:shd w:val="clear" w:color="auto" w:fill="auto"/>
            <w:noWrap w:val="0"/>
            <w:vAlign w:val="center"/>
          </w:tcPr>
          <w:p w14:paraId="72E6A7E4"/>
        </w:tc>
        <w:tc>
          <w:tcPr>
            <w:tcW w:w="6866"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C0F5EB4">
            <w:pPr>
              <w:pStyle w:val="6"/>
              <w:spacing w:line="240" w:lineRule="auto"/>
              <w:ind w:firstLine="0"/>
            </w:pPr>
            <w:r>
              <w:t>人民币元（大写）：</w:t>
            </w:r>
          </w:p>
        </w:tc>
      </w:tr>
    </w:tbl>
    <w:p w14:paraId="76A08F2E">
      <w:pPr>
        <w:pStyle w:val="4"/>
        <w:tabs>
          <w:tab w:val="left" w:pos="791"/>
        </w:tabs>
        <w:spacing w:after="100" w:line="389" w:lineRule="exact"/>
        <w:ind w:left="500" w:firstLine="562" w:firstLineChars="200"/>
        <w:jc w:val="both"/>
        <w:rPr>
          <w:rFonts w:hint="eastAsia" w:ascii="仿宋" w:hAnsi="仿宋" w:eastAsia="仿宋" w:cs="宋体"/>
          <w:b/>
          <w:bCs/>
          <w:sz w:val="28"/>
          <w:szCs w:val="28"/>
        </w:rPr>
      </w:pPr>
    </w:p>
    <w:p w14:paraId="35A66565">
      <w:pPr>
        <w:pStyle w:val="4"/>
        <w:tabs>
          <w:tab w:val="left" w:pos="791"/>
        </w:tabs>
        <w:spacing w:after="100" w:line="389" w:lineRule="exact"/>
        <w:ind w:firstLine="456" w:firstLineChars="142"/>
        <w:jc w:val="both"/>
        <w:rPr>
          <w:rFonts w:ascii="仿宋" w:hAnsi="仿宋" w:eastAsia="仿宋" w:cs="Times New Roman"/>
          <w:kern w:val="2"/>
          <w:sz w:val="32"/>
          <w:szCs w:val="32"/>
          <w:lang w:bidi="ar-SA"/>
        </w:rPr>
      </w:pPr>
      <w:r>
        <w:rPr>
          <w:rFonts w:hint="eastAsia" w:ascii="仿宋" w:hAnsi="仿宋" w:eastAsia="仿宋" w:cs="宋体"/>
          <w:b/>
          <w:bCs/>
          <w:sz w:val="32"/>
          <w:szCs w:val="32"/>
        </w:rPr>
        <w:t>二、履行合同的时间、地点及方式：</w:t>
      </w:r>
    </w:p>
    <w:p w14:paraId="0C599E6B">
      <w:pPr>
        <w:pStyle w:val="4"/>
        <w:spacing w:after="100" w:line="360" w:lineRule="auto"/>
        <w:jc w:val="both"/>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（一）</w:t>
      </w:r>
      <w:r>
        <w:rPr>
          <w:rFonts w:ascii="仿宋" w:hAnsi="仿宋" w:eastAsia="仿宋" w:cs="Times New Roman"/>
          <w:kern w:val="2"/>
          <w:sz w:val="32"/>
          <w:szCs w:val="32"/>
          <w:lang w:bidi="ar-SA"/>
        </w:rPr>
        <w:t>交货</w:t>
      </w:r>
      <w:r>
        <w:rPr>
          <w:rFonts w:hint="eastAsia" w:ascii="仿宋" w:hAnsi="仿宋" w:eastAsia="仿宋" w:cs="Times New Roman"/>
          <w:kern w:val="2"/>
          <w:sz w:val="32"/>
          <w:szCs w:val="32"/>
          <w:lang w:bidi="ar-SA"/>
        </w:rPr>
        <w:t>时间</w:t>
      </w:r>
      <w:r>
        <w:rPr>
          <w:rFonts w:ascii="仿宋" w:hAnsi="仿宋" w:eastAsia="仿宋" w:cs="Times New Roman"/>
          <w:kern w:val="2"/>
          <w:sz w:val="32"/>
          <w:szCs w:val="32"/>
          <w:lang w:bidi="ar-SA"/>
        </w:rPr>
        <w:t>：</w:t>
      </w:r>
      <w:r>
        <w:rPr>
          <w:rFonts w:hint="eastAsia" w:ascii="仿宋" w:hAnsi="仿宋" w:eastAsia="仿宋" w:cs="Times New Roman"/>
          <w:kern w:val="2"/>
          <w:sz w:val="32"/>
          <w:szCs w:val="32"/>
          <w:lang w:bidi="ar-SA"/>
        </w:rPr>
        <w:t>合同签订后以采购人实际情况供货</w:t>
      </w:r>
      <w:r>
        <w:rPr>
          <w:rFonts w:ascii="仿宋" w:hAnsi="仿宋" w:eastAsia="仿宋" w:cs="Times New Roman"/>
          <w:kern w:val="2"/>
          <w:sz w:val="32"/>
          <w:szCs w:val="32"/>
          <w:lang w:bidi="ar-SA"/>
        </w:rPr>
        <w:t>。</w:t>
      </w:r>
    </w:p>
    <w:p w14:paraId="6A5FCCA8">
      <w:pPr>
        <w:pStyle w:val="4"/>
        <w:spacing w:after="100" w:line="360" w:lineRule="auto"/>
        <w:jc w:val="both"/>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（二）</w:t>
      </w:r>
      <w:r>
        <w:rPr>
          <w:rFonts w:ascii="仿宋" w:hAnsi="仿宋" w:eastAsia="仿宋" w:cs="Times New Roman"/>
          <w:kern w:val="2"/>
          <w:sz w:val="32"/>
          <w:szCs w:val="32"/>
          <w:lang w:bidi="ar-SA"/>
        </w:rPr>
        <w:t>交货地点：</w:t>
      </w:r>
      <w:r>
        <w:rPr>
          <w:rFonts w:hint="eastAsia" w:ascii="仿宋" w:hAnsi="仿宋" w:eastAsia="仿宋" w:cs="Times New Roman"/>
          <w:kern w:val="2"/>
          <w:sz w:val="32"/>
          <w:szCs w:val="32"/>
          <w:lang w:bidi="ar-SA"/>
        </w:rPr>
        <w:t>甲方</w:t>
      </w:r>
      <w:r>
        <w:rPr>
          <w:rFonts w:ascii="仿宋" w:hAnsi="仿宋" w:eastAsia="仿宋" w:cs="Times New Roman"/>
          <w:kern w:val="2"/>
          <w:sz w:val="32"/>
          <w:szCs w:val="32"/>
          <w:lang w:bidi="ar-SA"/>
        </w:rPr>
        <w:t>指定地点。</w:t>
      </w:r>
    </w:p>
    <w:p w14:paraId="4B501B3B">
      <w:pPr>
        <w:pStyle w:val="4"/>
        <w:spacing w:after="100" w:line="360" w:lineRule="auto"/>
        <w:ind w:firstLine="456" w:firstLineChars="142"/>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三、合同价款</w:t>
      </w:r>
    </w:p>
    <w:p w14:paraId="40851807">
      <w:pPr>
        <w:pStyle w:val="4"/>
        <w:spacing w:after="100" w:line="360" w:lineRule="auto"/>
        <w:jc w:val="both"/>
        <w:rPr>
          <w:rFonts w:hint="eastAsia" w:ascii="仿宋" w:hAnsi="仿宋" w:eastAsia="仿宋" w:cs="Times New Roman"/>
          <w:kern w:val="2"/>
          <w:sz w:val="32"/>
          <w:szCs w:val="32"/>
          <w:lang w:bidi="ar-SA"/>
        </w:rPr>
      </w:pPr>
      <w:r>
        <w:rPr>
          <w:rFonts w:ascii="仿宋" w:hAnsi="仿宋" w:eastAsia="仿宋" w:cs="Times New Roman"/>
          <w:kern w:val="2"/>
          <w:sz w:val="32"/>
          <w:szCs w:val="32"/>
          <w:lang w:bidi="ar-SA"/>
        </w:rPr>
        <w:t>（一）合同总价款为：人民币（大写）：</w:t>
      </w:r>
    </w:p>
    <w:p w14:paraId="3B59CF13">
      <w:pPr>
        <w:pStyle w:val="4"/>
        <w:spacing w:after="100" w:line="360" w:lineRule="auto"/>
        <w:jc w:val="both"/>
        <w:rPr>
          <w:rFonts w:hint="eastAsia" w:ascii="仿宋" w:hAnsi="仿宋" w:eastAsia="仿宋" w:cs="Times New Roman"/>
          <w:kern w:val="2"/>
          <w:sz w:val="32"/>
          <w:szCs w:val="32"/>
          <w:lang w:bidi="ar-SA"/>
        </w:rPr>
      </w:pPr>
      <w:r>
        <w:rPr>
          <w:rFonts w:ascii="仿宋" w:hAnsi="仿宋" w:eastAsia="仿宋" w:cs="Times New Roman"/>
          <w:kern w:val="2"/>
          <w:sz w:val="32"/>
          <w:szCs w:val="32"/>
          <w:lang w:bidi="ar-SA"/>
        </w:rPr>
        <w:t>（二）合同总价</w:t>
      </w:r>
      <w:r>
        <w:rPr>
          <w:rFonts w:hint="eastAsia" w:ascii="仿宋" w:hAnsi="仿宋" w:eastAsia="仿宋" w:cs="Times New Roman"/>
          <w:kern w:val="2"/>
          <w:sz w:val="32"/>
          <w:szCs w:val="32"/>
          <w:lang w:bidi="ar-SA"/>
        </w:rPr>
        <w:t>：</w:t>
      </w:r>
      <w:r>
        <w:rPr>
          <w:rFonts w:ascii="仿宋" w:hAnsi="仿宋" w:eastAsia="仿宋" w:cs="Times New Roman"/>
          <w:kern w:val="2"/>
          <w:sz w:val="32"/>
          <w:szCs w:val="32"/>
          <w:lang w:bidi="ar-SA"/>
        </w:rPr>
        <w:t>乙方按合同将甲方所采购的货物送达甲方指定地点所发生的</w:t>
      </w:r>
      <w:r>
        <w:rPr>
          <w:rFonts w:hint="eastAsia" w:ascii="仿宋" w:hAnsi="仿宋" w:eastAsia="仿宋" w:cs="Times New Roman"/>
          <w:kern w:val="2"/>
          <w:sz w:val="32"/>
          <w:szCs w:val="32"/>
          <w:lang w:bidi="ar-SA"/>
        </w:rPr>
        <w:t>管理费、运输费、搬运费、利润、税金、保险费、</w:t>
      </w:r>
      <w:r>
        <w:rPr>
          <w:rFonts w:ascii="仿宋" w:hAnsi="仿宋" w:eastAsia="仿宋" w:cs="Times New Roman"/>
          <w:kern w:val="2"/>
          <w:sz w:val="32"/>
          <w:szCs w:val="32"/>
          <w:lang w:bidi="ar-SA"/>
        </w:rPr>
        <w:t>检测验收费、人员培训费</w:t>
      </w:r>
      <w:r>
        <w:rPr>
          <w:rFonts w:hint="eastAsia" w:ascii="仿宋" w:hAnsi="仿宋" w:eastAsia="仿宋" w:cs="Times New Roman"/>
          <w:kern w:val="2"/>
          <w:sz w:val="32"/>
          <w:szCs w:val="32"/>
          <w:lang w:bidi="ar-SA"/>
        </w:rPr>
        <w:t>等</w:t>
      </w:r>
      <w:r>
        <w:rPr>
          <w:rFonts w:ascii="仿宋" w:hAnsi="仿宋" w:eastAsia="仿宋" w:cs="Times New Roman"/>
          <w:kern w:val="2"/>
          <w:sz w:val="32"/>
          <w:szCs w:val="32"/>
          <w:lang w:bidi="ar-SA"/>
        </w:rPr>
        <w:t>一切费用。</w:t>
      </w:r>
    </w:p>
    <w:p w14:paraId="6D5CA211">
      <w:pPr>
        <w:pStyle w:val="4"/>
        <w:spacing w:after="100" w:line="360" w:lineRule="auto"/>
        <w:ind w:firstLine="643" w:firstLineChars="2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四、款项结算</w:t>
      </w:r>
    </w:p>
    <w:p w14:paraId="45A49394">
      <w:pPr>
        <w:pStyle w:val="4"/>
        <w:spacing w:after="100" w:line="360" w:lineRule="auto"/>
        <w:ind w:firstLine="500"/>
        <w:jc w:val="both"/>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（一）</w:t>
      </w:r>
      <w:r>
        <w:rPr>
          <w:rFonts w:ascii="仿宋" w:hAnsi="仿宋" w:eastAsia="仿宋" w:cs="Times New Roman"/>
          <w:kern w:val="2"/>
          <w:sz w:val="32"/>
          <w:szCs w:val="32"/>
          <w:lang w:bidi="ar-SA"/>
        </w:rPr>
        <w:t>合同总价即中标价，为一次性报价，不受市场价变化或实际工作量变化的影响。</w:t>
      </w:r>
    </w:p>
    <w:p w14:paraId="19250290">
      <w:pPr>
        <w:pStyle w:val="4"/>
        <w:spacing w:after="100" w:line="360" w:lineRule="auto"/>
        <w:ind w:firstLine="500"/>
        <w:jc w:val="both"/>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（二）</w:t>
      </w:r>
      <w:r>
        <w:rPr>
          <w:rFonts w:ascii="仿宋" w:hAnsi="仿宋" w:eastAsia="仿宋" w:cs="Times New Roman"/>
          <w:kern w:val="2"/>
          <w:sz w:val="32"/>
          <w:szCs w:val="32"/>
          <w:lang w:bidi="ar-SA"/>
        </w:rPr>
        <w:t>付款方式：</w:t>
      </w:r>
    </w:p>
    <w:p w14:paraId="054D1FDB">
      <w:pPr>
        <w:pStyle w:val="4"/>
        <w:spacing w:after="100" w:line="360" w:lineRule="auto"/>
        <w:ind w:firstLine="500"/>
        <w:jc w:val="both"/>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1、支付方式：合同签订后，乙方将（第一批）货送达至甲方指定机构，验收合格，收到发票后14个工作日内，支付合同金额的50%；待第二批货送达至甲方指定机构，验收合格后，无质量、技术、服务、安全等问题，乙方出具承诺函及发票后</w:t>
      </w:r>
      <w:r>
        <w:rPr>
          <w:rFonts w:hint="eastAsia" w:ascii="仿宋" w:hAnsi="仿宋" w:eastAsia="仿宋" w:cs="Times New Roman"/>
          <w:kern w:val="2"/>
          <w:sz w:val="32"/>
          <w:szCs w:val="32"/>
          <w:lang w:val="en-US" w:eastAsia="zh-CN" w:bidi="ar-SA"/>
        </w:rPr>
        <w:t>5 个工作日内，</w:t>
      </w:r>
      <w:r>
        <w:rPr>
          <w:rFonts w:hint="eastAsia" w:ascii="仿宋" w:hAnsi="仿宋" w:eastAsia="仿宋" w:cs="Times New Roman"/>
          <w:kern w:val="2"/>
          <w:sz w:val="32"/>
          <w:szCs w:val="32"/>
          <w:lang w:bidi="ar-SA"/>
        </w:rPr>
        <w:t>支付剩余合同总金额的50%总价款。</w:t>
      </w:r>
    </w:p>
    <w:p w14:paraId="7D4DE4B1">
      <w:pPr>
        <w:pStyle w:val="4"/>
        <w:spacing w:after="100" w:line="360" w:lineRule="auto"/>
        <w:ind w:firstLine="500"/>
        <w:jc w:val="both"/>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2、银行转账。由采购人负责结算，付款前供应商必须开具与合同金额相应的发票给采购人。每次提供发票时须同时提供成品检验报告单、销货清单、项目单位验收报告。</w:t>
      </w:r>
    </w:p>
    <w:p w14:paraId="1829EFC5">
      <w:pPr>
        <w:pStyle w:val="4"/>
        <w:spacing w:after="100" w:line="360" w:lineRule="auto"/>
        <w:ind w:firstLine="500"/>
        <w:jc w:val="both"/>
        <w:rPr>
          <w:rFonts w:hint="eastAsia"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五、质量保证</w:t>
      </w:r>
    </w:p>
    <w:p w14:paraId="77A73730">
      <w:pPr>
        <w:pStyle w:val="4"/>
        <w:spacing w:after="100" w:line="360" w:lineRule="auto"/>
        <w:ind w:firstLine="500"/>
        <w:jc w:val="both"/>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 xml:space="preserve">（一）所有产品的有限期为终验合格后不少于 24 个月。 </w:t>
      </w:r>
    </w:p>
    <w:p w14:paraId="05B0209F">
      <w:pPr>
        <w:pStyle w:val="4"/>
        <w:spacing w:after="100" w:line="360" w:lineRule="auto"/>
        <w:ind w:firstLine="500"/>
        <w:jc w:val="both"/>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（二）货物的设计、制造应遵照行业的现行规范和标准。</w:t>
      </w:r>
    </w:p>
    <w:p w14:paraId="75C6FCD2">
      <w:pPr>
        <w:pStyle w:val="4"/>
        <w:spacing w:after="100" w:line="360" w:lineRule="auto"/>
        <w:ind w:left="0" w:leftChars="0" w:firstLine="643" w:firstLineChars="200"/>
        <w:jc w:val="both"/>
        <w:rPr>
          <w:rFonts w:hint="eastAsia" w:ascii="仿宋" w:hAnsi="仿宋" w:eastAsia="仿宋" w:cs="Times New Roman"/>
          <w:kern w:val="2"/>
          <w:sz w:val="32"/>
          <w:szCs w:val="32"/>
          <w:lang w:bidi="ar-SA"/>
        </w:rPr>
      </w:pPr>
      <w:r>
        <w:rPr>
          <w:rFonts w:hint="eastAsia" w:ascii="仿宋" w:hAnsi="仿宋" w:eastAsia="仿宋" w:cs="Times New Roman"/>
          <w:b/>
          <w:kern w:val="2"/>
          <w:sz w:val="32"/>
          <w:szCs w:val="32"/>
          <w:lang w:bidi="ar-SA"/>
        </w:rPr>
        <w:t>六、售后服务</w:t>
      </w:r>
      <w:r>
        <w:rPr>
          <w:rFonts w:hint="eastAsia" w:ascii="仿宋" w:hAnsi="仿宋" w:eastAsia="仿宋" w:cs="Times New Roman"/>
          <w:kern w:val="2"/>
          <w:sz w:val="32"/>
          <w:szCs w:val="32"/>
          <w:lang w:bidi="ar-SA"/>
        </w:rPr>
        <w:t>（伴随服务包）</w:t>
      </w:r>
    </w:p>
    <w:p w14:paraId="6892527E">
      <w:pPr>
        <w:pStyle w:val="7"/>
        <w:ind w:firstLine="640" w:firstLineChars="200"/>
        <w:jc w:val="both"/>
        <w:rPr>
          <w:sz w:val="32"/>
          <w:szCs w:val="32"/>
        </w:rPr>
      </w:pPr>
      <w:r>
        <w:rPr>
          <w:rFonts w:hint="eastAsia" w:ascii="仿宋_GB2312" w:hAnsi="仿宋_GB2312" w:eastAsia="仿宋_GB2312" w:cs="仿宋_GB2312"/>
          <w:sz w:val="32"/>
          <w:szCs w:val="32"/>
          <w:lang w:eastAsia="zh-CN"/>
        </w:rPr>
        <w:t>（一）</w:t>
      </w:r>
      <w:r>
        <w:rPr>
          <w:rFonts w:ascii="仿宋_GB2312" w:hAnsi="仿宋_GB2312" w:eastAsia="仿宋_GB2312" w:cs="仿宋_GB2312"/>
          <w:sz w:val="32"/>
          <w:szCs w:val="32"/>
        </w:rPr>
        <w:t>知情同意书：49700张，规格：彩色纸60克A5单面印刷；每册100张（胶印），封面250克铜版纸。</w:t>
      </w:r>
    </w:p>
    <w:p w14:paraId="26EEBE05">
      <w:pPr>
        <w:pStyle w:val="7"/>
        <w:ind w:firstLine="640"/>
        <w:jc w:val="both"/>
        <w:rPr>
          <w:sz w:val="32"/>
          <w:szCs w:val="32"/>
        </w:rPr>
      </w:pPr>
      <w:r>
        <w:rPr>
          <w:rFonts w:hint="eastAsia" w:ascii="仿宋_GB2312" w:hAnsi="仿宋_GB2312" w:eastAsia="仿宋_GB2312" w:cs="仿宋_GB2312"/>
          <w:sz w:val="32"/>
          <w:szCs w:val="32"/>
          <w:lang w:eastAsia="zh-CN"/>
        </w:rPr>
        <w:t>（二）</w:t>
      </w:r>
      <w:r>
        <w:rPr>
          <w:rFonts w:ascii="仿宋_GB2312" w:hAnsi="仿宋_GB2312" w:eastAsia="仿宋_GB2312" w:cs="仿宋_GB2312"/>
          <w:sz w:val="32"/>
          <w:szCs w:val="32"/>
        </w:rPr>
        <w:t>乡级叶酸资料登记册：240本，规格：80克双胶，A4 纸，每册30张，双面印刷；封面250克铜版纸，A4色印刷。</w:t>
      </w:r>
    </w:p>
    <w:p w14:paraId="4DE7BC1C">
      <w:pPr>
        <w:pStyle w:val="7"/>
        <w:ind w:firstLine="640"/>
        <w:jc w:val="both"/>
        <w:rPr>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rPr>
        <w:t>村级叶酸资料登记册：2620册；规格：80克双胶，A4 纸，每册30张，双面印刷；封面250克铜版纸，A4色印刷，覆膜。</w:t>
      </w:r>
    </w:p>
    <w:p w14:paraId="5226A0E1">
      <w:pPr>
        <w:pStyle w:val="7"/>
        <w:ind w:firstLine="640"/>
        <w:jc w:val="both"/>
        <w:rPr>
          <w:sz w:val="32"/>
          <w:szCs w:val="32"/>
        </w:rPr>
      </w:pPr>
      <w:r>
        <w:rPr>
          <w:rFonts w:hint="eastAsia" w:ascii="仿宋_GB2312" w:hAnsi="仿宋_GB2312" w:eastAsia="仿宋_GB2312" w:cs="仿宋_GB2312"/>
          <w:sz w:val="32"/>
          <w:szCs w:val="32"/>
          <w:lang w:val="en-US" w:eastAsia="zh-CN"/>
        </w:rPr>
        <w:t>（四）</w:t>
      </w:r>
      <w:r>
        <w:rPr>
          <w:rFonts w:ascii="仿宋_GB2312" w:hAnsi="仿宋_GB2312" w:eastAsia="仿宋_GB2312" w:cs="仿宋_GB2312"/>
          <w:sz w:val="32"/>
          <w:szCs w:val="32"/>
        </w:rPr>
        <w:t>发放机构叶酸资料登记册：130册；规格：80克双胶， A4纸，每册30张，双面印刷；封面250克铜版纸，A4色印刷，覆膜。</w:t>
      </w:r>
    </w:p>
    <w:p w14:paraId="49677265">
      <w:pPr>
        <w:pStyle w:val="7"/>
        <w:ind w:firstLine="640"/>
        <w:jc w:val="both"/>
        <w:rPr>
          <w:sz w:val="32"/>
          <w:szCs w:val="32"/>
        </w:rPr>
      </w:pPr>
      <w:r>
        <w:rPr>
          <w:rFonts w:hint="eastAsia" w:ascii="仿宋_GB2312" w:hAnsi="仿宋_GB2312" w:eastAsia="仿宋_GB2312" w:cs="仿宋_GB2312"/>
          <w:sz w:val="32"/>
          <w:szCs w:val="32"/>
          <w:lang w:eastAsia="zh-CN"/>
        </w:rPr>
        <w:t>（五）</w:t>
      </w:r>
      <w:r>
        <w:rPr>
          <w:rFonts w:ascii="仿宋_GB2312" w:hAnsi="仿宋_GB2312" w:eastAsia="仿宋_GB2312" w:cs="仿宋_GB2312"/>
          <w:sz w:val="32"/>
          <w:szCs w:val="32"/>
        </w:rPr>
        <w:t>宣传海报：2820张;60*90cm。视频：不少于3分钟。</w:t>
      </w:r>
    </w:p>
    <w:p w14:paraId="5B17A088">
      <w:pPr>
        <w:pStyle w:val="7"/>
        <w:ind w:firstLine="640"/>
        <w:jc w:val="both"/>
        <w:rPr>
          <w:sz w:val="32"/>
          <w:szCs w:val="32"/>
        </w:rPr>
      </w:pP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六</w:t>
      </w:r>
      <w:r>
        <w:rPr>
          <w:rFonts w:ascii="仿宋_GB2312" w:hAnsi="仿宋_GB2312" w:eastAsia="仿宋_GB2312" w:cs="仿宋_GB2312"/>
          <w:sz w:val="32"/>
          <w:szCs w:val="32"/>
        </w:rPr>
        <w:t>）叶酸发放袋：25100个;无纺布，30*38*10cm,厚度90g。</w:t>
      </w:r>
    </w:p>
    <w:p w14:paraId="28A0EC80">
      <w:pPr>
        <w:pStyle w:val="7"/>
        <w:ind w:firstLine="640"/>
        <w:jc w:val="both"/>
        <w:rPr>
          <w:sz w:val="32"/>
          <w:szCs w:val="32"/>
        </w:rPr>
      </w:pPr>
      <w:r>
        <w:rPr>
          <w:rFonts w:ascii="仿宋_GB2312" w:hAnsi="仿宋_GB2312" w:eastAsia="仿宋_GB2312" w:cs="仿宋_GB2312"/>
          <w:sz w:val="32"/>
          <w:szCs w:val="32"/>
        </w:rPr>
        <w:t>备注：相关登记册、海报和发放袋样式由供应商设计，市卫生健康行政部门审核确定后印制。</w:t>
      </w:r>
    </w:p>
    <w:p w14:paraId="1CA73057">
      <w:pPr>
        <w:pStyle w:val="4"/>
        <w:numPr>
          <w:ilvl w:val="0"/>
          <w:numId w:val="1"/>
        </w:numPr>
        <w:spacing w:after="100" w:line="360" w:lineRule="auto"/>
        <w:ind w:firstLine="643" w:firstLineChars="200"/>
        <w:jc w:val="both"/>
        <w:rPr>
          <w:rFonts w:hint="eastAsia" w:ascii="仿宋" w:hAnsi="仿宋" w:eastAsia="仿宋" w:cs="Times New Roman"/>
          <w:b/>
          <w:bCs/>
          <w:kern w:val="2"/>
          <w:sz w:val="32"/>
          <w:szCs w:val="32"/>
          <w:lang w:bidi="ar-SA"/>
        </w:rPr>
      </w:pPr>
      <w:r>
        <w:rPr>
          <w:rFonts w:hint="eastAsia" w:ascii="仿宋" w:hAnsi="仿宋" w:eastAsia="仿宋" w:cs="Times New Roman"/>
          <w:b/>
          <w:bCs/>
          <w:kern w:val="2"/>
          <w:sz w:val="32"/>
          <w:szCs w:val="32"/>
          <w:lang w:bidi="ar-SA"/>
        </w:rPr>
        <w:t>人员培训</w:t>
      </w:r>
    </w:p>
    <w:p w14:paraId="2D8DCBC3">
      <w:pPr>
        <w:pStyle w:val="4"/>
        <w:numPr>
          <w:numId w:val="0"/>
        </w:numPr>
        <w:spacing w:after="100" w:line="360" w:lineRule="auto"/>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rPr>
        <w:t>培训按照《陕西省增补叶酸预防神经管缺陷项目服务规范》执行，规模要求：培训对象为每个县（市区）、乡镇各2人，每村1人，负责和承担叶酸片发放、随访、宣传、 督导管理的人员。培训采取线上或线下的形式进行，每人培训不少于6学时，培训覆盖率达到100%,供应商应配合市卫生健康行政部门完成项目培训并承担相关费用。</w:t>
      </w:r>
    </w:p>
    <w:p w14:paraId="49D0D002">
      <w:pPr>
        <w:pStyle w:val="4"/>
        <w:numPr>
          <w:numId w:val="0"/>
        </w:numPr>
        <w:spacing w:after="100" w:line="360" w:lineRule="auto"/>
        <w:ind w:firstLine="643" w:firstLineChars="200"/>
        <w:jc w:val="both"/>
        <w:rPr>
          <w:rFonts w:hint="eastAsia" w:ascii="仿宋" w:hAnsi="仿宋" w:eastAsia="仿宋" w:cs="Times New Roman"/>
          <w:b/>
          <w:bCs/>
          <w:kern w:val="2"/>
          <w:sz w:val="32"/>
          <w:szCs w:val="32"/>
          <w:lang w:bidi="ar-SA"/>
        </w:rPr>
      </w:pPr>
      <w:r>
        <w:rPr>
          <w:rFonts w:hint="eastAsia" w:ascii="仿宋" w:hAnsi="仿宋" w:eastAsia="仿宋" w:cs="Times New Roman"/>
          <w:b/>
          <w:bCs/>
          <w:kern w:val="2"/>
          <w:sz w:val="32"/>
          <w:szCs w:val="32"/>
          <w:lang w:bidi="ar-SA"/>
        </w:rPr>
        <w:t>八、项目团队要求</w:t>
      </w:r>
    </w:p>
    <w:p w14:paraId="0E7D47F4">
      <w:pPr>
        <w:pStyle w:val="7"/>
        <w:ind w:firstLine="640" w:firstLineChars="200"/>
        <w:jc w:val="both"/>
        <w:rPr>
          <w:sz w:val="32"/>
          <w:szCs w:val="32"/>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一）</w:t>
      </w:r>
      <w:r>
        <w:rPr>
          <w:rFonts w:ascii="仿宋_GB2312" w:hAnsi="仿宋_GB2312" w:eastAsia="仿宋_GB2312" w:cs="仿宋_GB2312"/>
          <w:color w:val="000000"/>
          <w:sz w:val="32"/>
          <w:szCs w:val="32"/>
        </w:rPr>
        <w:t>中标企业安排专人负责与采购人对接；</w:t>
      </w:r>
    </w:p>
    <w:p w14:paraId="5273C16E">
      <w:pPr>
        <w:pStyle w:val="4"/>
        <w:spacing w:after="100" w:line="360" w:lineRule="auto"/>
        <w:ind w:left="0" w:leftChars="0" w:firstLine="640" w:firstLineChars="200"/>
        <w:jc w:val="both"/>
        <w:rPr>
          <w:rFonts w:ascii="仿宋" w:hAnsi="仿宋" w:eastAsia="仿宋" w:cs="Times New Roman"/>
          <w:kern w:val="2"/>
          <w:sz w:val="32"/>
          <w:szCs w:val="32"/>
          <w:lang w:bidi="ar-SA"/>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二</w:t>
      </w:r>
      <w:r>
        <w:rPr>
          <w:rFonts w:ascii="仿宋_GB2312" w:hAnsi="仿宋_GB2312" w:eastAsia="仿宋_GB2312" w:cs="仿宋_GB2312"/>
          <w:color w:val="000000"/>
          <w:sz w:val="32"/>
          <w:szCs w:val="32"/>
        </w:rPr>
        <w:t>）7*24小时响应咨询技术及售后服务，否则承担相关责任。</w:t>
      </w:r>
      <w:r>
        <w:rPr>
          <w:rFonts w:hint="eastAsia" w:ascii="仿宋" w:hAnsi="仿宋" w:eastAsia="仿宋" w:cs="Times New Roman"/>
          <w:kern w:val="2"/>
          <w:sz w:val="32"/>
          <w:szCs w:val="32"/>
          <w:lang w:bidi="ar-SA"/>
        </w:rPr>
        <w:t>责任。</w:t>
      </w:r>
    </w:p>
    <w:p w14:paraId="538B42E0">
      <w:pPr>
        <w:pStyle w:val="4"/>
        <w:spacing w:after="100" w:line="360" w:lineRule="auto"/>
        <w:ind w:firstLine="5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九、验收</w:t>
      </w:r>
    </w:p>
    <w:p w14:paraId="386B6B3F">
      <w:pPr>
        <w:pStyle w:val="4"/>
        <w:spacing w:after="100" w:line="360" w:lineRule="auto"/>
        <w:ind w:firstLine="500"/>
        <w:jc w:val="both"/>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（一）</w:t>
      </w:r>
      <w:r>
        <w:rPr>
          <w:rFonts w:ascii="仿宋" w:hAnsi="仿宋" w:eastAsia="仿宋" w:cs="Times New Roman"/>
          <w:kern w:val="2"/>
          <w:sz w:val="32"/>
          <w:szCs w:val="32"/>
          <w:lang w:bidi="ar-SA"/>
        </w:rPr>
        <w:t>所供产品的规格、数量符合采购文件供应商投标承诺及采购合同约定的要求。</w:t>
      </w:r>
    </w:p>
    <w:p w14:paraId="498CB7E5">
      <w:pPr>
        <w:pStyle w:val="4"/>
        <w:spacing w:after="100" w:line="360" w:lineRule="auto"/>
        <w:ind w:firstLine="500"/>
        <w:jc w:val="both"/>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（二）所有产品及服务资料均已运输至指定地点，并包装完整无损害，质量数量符合采购文件要求并安装调试完毕。</w:t>
      </w:r>
    </w:p>
    <w:p w14:paraId="2F08FCDB">
      <w:pPr>
        <w:pStyle w:val="4"/>
        <w:spacing w:after="100" w:line="360" w:lineRule="auto"/>
        <w:ind w:firstLine="500"/>
        <w:jc w:val="both"/>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（三）采购文件供应商投标承诺及采购合同约定的附件、工具、技术资料等齐全；提供产品使用说明书、每批次提供第三方质量检验证书、合格证等。</w:t>
      </w:r>
    </w:p>
    <w:p w14:paraId="7CF5F098">
      <w:pPr>
        <w:pStyle w:val="4"/>
        <w:spacing w:after="100" w:line="360" w:lineRule="auto"/>
        <w:ind w:firstLine="500"/>
        <w:jc w:val="both"/>
        <w:rPr>
          <w:rFonts w:hint="eastAsia" w:ascii="仿宋" w:hAnsi="仿宋" w:eastAsia="仿宋" w:cs="Times New Roman"/>
          <w:kern w:val="2"/>
          <w:sz w:val="32"/>
          <w:szCs w:val="32"/>
          <w:lang w:bidi="ar-SA"/>
        </w:rPr>
      </w:pPr>
      <w:r>
        <w:rPr>
          <w:rFonts w:hint="eastAsia" w:ascii="仿宋" w:hAnsi="仿宋" w:eastAsia="仿宋" w:cs="Times New Roman"/>
          <w:kern w:val="2"/>
          <w:sz w:val="32"/>
          <w:szCs w:val="32"/>
          <w:lang w:bidi="ar-SA"/>
        </w:rPr>
        <w:t>（四）由项目执行单位出具产品验收清单及评价函。</w:t>
      </w:r>
    </w:p>
    <w:p w14:paraId="23AEA1E8">
      <w:pPr>
        <w:pStyle w:val="4"/>
        <w:spacing w:after="100" w:line="360" w:lineRule="auto"/>
        <w:ind w:firstLine="5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十、甲方责任</w:t>
      </w:r>
    </w:p>
    <w:p w14:paraId="6453E7D1">
      <w:pPr>
        <w:pStyle w:val="4"/>
        <w:spacing w:after="100" w:line="360" w:lineRule="auto"/>
        <w:ind w:firstLine="500"/>
        <w:jc w:val="both"/>
        <w:rPr>
          <w:rFonts w:ascii="仿宋" w:hAnsi="仿宋" w:eastAsia="仿宋" w:cs="Times New Roman"/>
          <w:kern w:val="2"/>
          <w:sz w:val="32"/>
          <w:szCs w:val="32"/>
          <w:lang w:bidi="ar-SA"/>
        </w:rPr>
      </w:pPr>
      <w:r>
        <w:rPr>
          <w:rFonts w:ascii="仿宋" w:hAnsi="仿宋" w:eastAsia="仿宋" w:cs="Times New Roman"/>
          <w:kern w:val="2"/>
          <w:sz w:val="32"/>
          <w:szCs w:val="32"/>
          <w:lang w:bidi="ar-SA"/>
        </w:rPr>
        <w:t>1、安排组织验收并及时办理付款手续。</w:t>
      </w:r>
    </w:p>
    <w:p w14:paraId="73C4080F">
      <w:pPr>
        <w:pStyle w:val="4"/>
        <w:spacing w:after="100" w:line="360" w:lineRule="auto"/>
        <w:ind w:firstLine="500"/>
        <w:jc w:val="both"/>
        <w:rPr>
          <w:rFonts w:ascii="仿宋" w:hAnsi="仿宋" w:eastAsia="仿宋" w:cs="Times New Roman"/>
          <w:kern w:val="2"/>
          <w:sz w:val="32"/>
          <w:szCs w:val="32"/>
          <w:lang w:bidi="ar-SA"/>
        </w:rPr>
      </w:pPr>
      <w:r>
        <w:rPr>
          <w:rFonts w:ascii="仿宋" w:hAnsi="仿宋" w:eastAsia="仿宋" w:cs="Times New Roman"/>
          <w:kern w:val="2"/>
          <w:sz w:val="32"/>
          <w:szCs w:val="32"/>
          <w:lang w:bidi="ar-SA"/>
        </w:rPr>
        <w:t>2、负责提供工作场地（不含人员培训所产生的各类费用），协助乙方办理有关事宜。</w:t>
      </w:r>
    </w:p>
    <w:p w14:paraId="6A4EDD1A">
      <w:pPr>
        <w:pStyle w:val="4"/>
        <w:spacing w:after="100" w:line="360" w:lineRule="auto"/>
        <w:ind w:firstLine="5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十一、乙方责任</w:t>
      </w:r>
    </w:p>
    <w:p w14:paraId="4D7F55B2">
      <w:pPr>
        <w:pStyle w:val="4"/>
        <w:spacing w:after="100" w:line="360" w:lineRule="auto"/>
        <w:ind w:firstLine="500"/>
        <w:jc w:val="both"/>
        <w:rPr>
          <w:rFonts w:ascii="仿宋" w:hAnsi="仿宋" w:eastAsia="仿宋" w:cs="Times New Roman"/>
          <w:kern w:val="2"/>
          <w:sz w:val="32"/>
          <w:szCs w:val="32"/>
          <w:lang w:bidi="ar-SA"/>
        </w:rPr>
      </w:pPr>
      <w:r>
        <w:rPr>
          <w:rFonts w:ascii="仿宋" w:hAnsi="仿宋" w:eastAsia="仿宋" w:cs="Times New Roman"/>
          <w:kern w:val="2"/>
          <w:sz w:val="32"/>
          <w:szCs w:val="32"/>
          <w:lang w:bidi="ar-SA"/>
        </w:rPr>
        <w:t>1、保证所供货物均为标书承诺货物，符合相关质量检测标准，具有该产品的出厂标准或国家鉴定证书。</w:t>
      </w:r>
    </w:p>
    <w:p w14:paraId="154A20F4">
      <w:pPr>
        <w:pStyle w:val="4"/>
        <w:spacing w:after="100" w:line="360" w:lineRule="auto"/>
        <w:ind w:firstLine="500"/>
        <w:jc w:val="both"/>
        <w:rPr>
          <w:rFonts w:ascii="仿宋" w:hAnsi="仿宋" w:eastAsia="仿宋" w:cs="Times New Roman"/>
          <w:kern w:val="2"/>
          <w:sz w:val="32"/>
          <w:szCs w:val="32"/>
          <w:lang w:bidi="ar-SA"/>
        </w:rPr>
      </w:pPr>
      <w:r>
        <w:rPr>
          <w:rFonts w:ascii="仿宋" w:hAnsi="仿宋" w:eastAsia="仿宋" w:cs="Times New Roman"/>
          <w:kern w:val="2"/>
          <w:sz w:val="32"/>
          <w:szCs w:val="32"/>
          <w:lang w:bidi="ar-SA"/>
        </w:rPr>
        <w:t>2、保证货物的售后服务，严格遵守投标文件及相关承诺。</w:t>
      </w:r>
    </w:p>
    <w:p w14:paraId="3B6889A5">
      <w:pPr>
        <w:pStyle w:val="4"/>
        <w:spacing w:after="100" w:line="360" w:lineRule="auto"/>
        <w:ind w:firstLine="5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十二、违约责任</w:t>
      </w:r>
    </w:p>
    <w:p w14:paraId="139B096D">
      <w:pPr>
        <w:pStyle w:val="4"/>
        <w:spacing w:after="100" w:line="360" w:lineRule="auto"/>
        <w:ind w:firstLine="500"/>
        <w:jc w:val="both"/>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1、</w:t>
      </w:r>
      <w:r>
        <w:rPr>
          <w:rFonts w:ascii="仿宋" w:hAnsi="仿宋" w:eastAsia="仿宋" w:cs="Times New Roman"/>
          <w:kern w:val="2"/>
          <w:sz w:val="32"/>
          <w:szCs w:val="32"/>
          <w:lang w:bidi="ar-SA"/>
        </w:rPr>
        <w:t>乙方应按照本合同中规定的时间交货和提供服务。如乙方无正当理由拖延交货，甲方有权从货款中扣除违约赔偿费而不影响合同项下的其他补救方法。每延迟一天，赔偿费按合同总价款的1%计收，最高赔偿限额为合同总价的5%。如达到最高限额，甲方有权终止合同。</w:t>
      </w:r>
    </w:p>
    <w:p w14:paraId="63881BF7">
      <w:pPr>
        <w:pStyle w:val="4"/>
        <w:spacing w:after="100" w:line="360" w:lineRule="auto"/>
        <w:ind w:left="0" w:leftChars="0" w:firstLine="640" w:firstLineChars="200"/>
        <w:jc w:val="both"/>
        <w:rPr>
          <w:rFonts w:ascii="仿宋" w:hAnsi="仿宋" w:eastAsia="仿宋" w:cs="Times New Roman"/>
          <w:kern w:val="2"/>
          <w:sz w:val="32"/>
          <w:szCs w:val="32"/>
          <w:lang w:bidi="ar-SA"/>
        </w:rPr>
      </w:pPr>
      <w:r>
        <w:rPr>
          <w:rFonts w:hint="eastAsia" w:ascii="仿宋" w:hAnsi="仿宋" w:eastAsia="仿宋" w:cs="Times New Roman"/>
          <w:kern w:val="2"/>
          <w:sz w:val="32"/>
          <w:szCs w:val="32"/>
          <w:lang w:bidi="ar-SA"/>
        </w:rPr>
        <w:t>2、</w:t>
      </w:r>
      <w:r>
        <w:rPr>
          <w:rFonts w:ascii="仿宋" w:hAnsi="仿宋" w:eastAsia="仿宋" w:cs="Times New Roman"/>
          <w:kern w:val="2"/>
          <w:sz w:val="32"/>
          <w:szCs w:val="32"/>
          <w:lang w:bidi="ar-SA"/>
        </w:rPr>
        <w:t>由于服用乙方所提供的不合格</w:t>
      </w:r>
      <w:r>
        <w:rPr>
          <w:rFonts w:hint="eastAsia" w:ascii="仿宋" w:hAnsi="仿宋" w:eastAsia="仿宋" w:cs="Times New Roman"/>
          <w:kern w:val="2"/>
          <w:sz w:val="32"/>
          <w:szCs w:val="32"/>
          <w:lang w:bidi="ar-SA"/>
        </w:rPr>
        <w:t>产品</w:t>
      </w:r>
      <w:r>
        <w:rPr>
          <w:rFonts w:ascii="仿宋" w:hAnsi="仿宋" w:eastAsia="仿宋" w:cs="Times New Roman"/>
          <w:kern w:val="2"/>
          <w:sz w:val="32"/>
          <w:szCs w:val="32"/>
          <w:lang w:bidi="ar-SA"/>
        </w:rPr>
        <w:t>产生的严重不良反应、致病（但自身过敏、疾病等非乙方原因除外），经甲乙双方确认并经第三方检验后，乙方应对此负责，立即召回并更换该批产品，对因此造成的所有后果负责，所产生的费用及善后由乙方承担，并承担由此产生的法律责任。</w:t>
      </w:r>
    </w:p>
    <w:p w14:paraId="7E4FCB4F">
      <w:pPr>
        <w:pStyle w:val="4"/>
        <w:spacing w:after="100" w:line="360" w:lineRule="auto"/>
        <w:ind w:left="0" w:leftChars="0" w:firstLine="643" w:firstLineChars="2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十三、不可抗力</w:t>
      </w:r>
    </w:p>
    <w:p w14:paraId="492895BD">
      <w:pPr>
        <w:pStyle w:val="4"/>
        <w:spacing w:after="100" w:line="360" w:lineRule="auto"/>
        <w:ind w:left="0" w:leftChars="0" w:firstLine="640" w:firstLineChars="200"/>
        <w:jc w:val="both"/>
        <w:rPr>
          <w:rFonts w:ascii="仿宋" w:hAnsi="仿宋" w:eastAsia="仿宋" w:cs="Times New Roman"/>
          <w:kern w:val="2"/>
          <w:sz w:val="32"/>
          <w:szCs w:val="32"/>
          <w:lang w:bidi="ar-SA"/>
        </w:rPr>
      </w:pPr>
      <w:r>
        <w:rPr>
          <w:rFonts w:ascii="仿宋" w:hAnsi="仿宋" w:eastAsia="仿宋" w:cs="Times New Roman"/>
          <w:kern w:val="2"/>
          <w:sz w:val="32"/>
          <w:szCs w:val="32"/>
          <w:lang w:bidi="ar-SA"/>
        </w:rPr>
        <w:t>甲</w:t>
      </w:r>
      <w:r>
        <w:rPr>
          <w:rFonts w:hint="eastAsia" w:ascii="仿宋" w:hAnsi="仿宋" w:eastAsia="仿宋" w:cs="Times New Roman"/>
          <w:kern w:val="2"/>
          <w:sz w:val="32"/>
          <w:szCs w:val="32"/>
          <w:lang w:eastAsia="zh-CN" w:bidi="ar-SA"/>
        </w:rPr>
        <w:t>、</w:t>
      </w:r>
      <w:r>
        <w:rPr>
          <w:rFonts w:ascii="仿宋" w:hAnsi="仿宋" w:eastAsia="仿宋" w:cs="Times New Roman"/>
          <w:kern w:val="2"/>
          <w:sz w:val="32"/>
          <w:szCs w:val="32"/>
          <w:lang w:bidi="ar-SA"/>
        </w:rPr>
        <w:t>乙双方的任何一方由于不可抗力的原因不能履行合同时，应及时向对方通报不能履行或不能完成履行理由，在取得有关主管机关证明以后，允许延期履行、部分履行或者不履行合同，并根据情况可部分或全部免于承担违约责任。</w:t>
      </w:r>
    </w:p>
    <w:p w14:paraId="5A97B440">
      <w:pPr>
        <w:pStyle w:val="4"/>
        <w:spacing w:after="100" w:line="360" w:lineRule="auto"/>
        <w:ind w:left="0" w:leftChars="0" w:firstLine="643" w:firstLineChars="2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十四、争议解决</w:t>
      </w:r>
    </w:p>
    <w:p w14:paraId="5A8645A4">
      <w:pPr>
        <w:tabs>
          <w:tab w:val="left" w:pos="1155"/>
        </w:tabs>
        <w:spacing w:line="360" w:lineRule="auto"/>
        <w:ind w:firstLine="627" w:firstLineChars="196"/>
        <w:rPr>
          <w:rFonts w:ascii="仿宋" w:hAnsi="仿宋" w:eastAsia="仿宋"/>
          <w:sz w:val="32"/>
          <w:szCs w:val="32"/>
          <w:lang w:val="zh-CN"/>
        </w:rPr>
      </w:pPr>
      <w:r>
        <w:rPr>
          <w:rFonts w:hint="eastAsia" w:ascii="仿宋" w:hAnsi="仿宋" w:eastAsia="仿宋"/>
          <w:sz w:val="32"/>
          <w:szCs w:val="32"/>
          <w:lang w:val="zh-CN"/>
        </w:rPr>
        <w:t>合同执行中发生争议的，当事人双方应协商解决，协商达不成一致时，可向当地行政仲裁机关申请仲裁或者向人民法院提请诉讼。</w:t>
      </w:r>
    </w:p>
    <w:p w14:paraId="36B4E03E">
      <w:pPr>
        <w:pStyle w:val="4"/>
        <w:spacing w:after="100" w:line="360" w:lineRule="auto"/>
        <w:ind w:left="0" w:leftChars="0" w:firstLine="643" w:firstLineChars="200"/>
        <w:jc w:val="both"/>
        <w:rPr>
          <w:rFonts w:ascii="仿宋" w:hAnsi="仿宋" w:eastAsia="仿宋" w:cs="Times New Roman"/>
          <w:b/>
          <w:kern w:val="2"/>
          <w:sz w:val="32"/>
          <w:szCs w:val="32"/>
          <w:lang w:bidi="ar-SA"/>
        </w:rPr>
      </w:pPr>
      <w:r>
        <w:rPr>
          <w:rFonts w:hint="eastAsia" w:ascii="仿宋" w:hAnsi="仿宋" w:eastAsia="仿宋" w:cs="Times New Roman"/>
          <w:b/>
          <w:kern w:val="2"/>
          <w:sz w:val="32"/>
          <w:szCs w:val="32"/>
          <w:lang w:bidi="ar-SA"/>
        </w:rPr>
        <w:t>十五、合同生效及其他</w:t>
      </w:r>
    </w:p>
    <w:p w14:paraId="0B94F718">
      <w:pPr>
        <w:pStyle w:val="4"/>
        <w:spacing w:after="100" w:line="360" w:lineRule="auto"/>
        <w:ind w:left="0" w:leftChars="0" w:firstLine="640" w:firstLineChars="200"/>
        <w:jc w:val="both"/>
        <w:rPr>
          <w:rFonts w:ascii="仿宋" w:hAnsi="仿宋" w:eastAsia="仿宋" w:cs="Times New Roman"/>
          <w:kern w:val="2"/>
          <w:sz w:val="32"/>
          <w:szCs w:val="32"/>
          <w:lang w:bidi="ar-SA"/>
        </w:rPr>
      </w:pPr>
      <w:r>
        <w:rPr>
          <w:rFonts w:ascii="仿宋" w:hAnsi="仿宋" w:eastAsia="仿宋" w:cs="Times New Roman"/>
          <w:kern w:val="2"/>
          <w:sz w:val="32"/>
          <w:szCs w:val="32"/>
          <w:lang w:bidi="ar-SA"/>
        </w:rPr>
        <w:t>1、本合同经双方签字盖章后生效。合同一式</w:t>
      </w:r>
      <w:r>
        <w:rPr>
          <w:rFonts w:hint="eastAsia" w:ascii="仿宋" w:hAnsi="仿宋" w:eastAsia="仿宋" w:cs="Times New Roman"/>
          <w:kern w:val="2"/>
          <w:sz w:val="32"/>
          <w:szCs w:val="32"/>
          <w:lang w:bidi="ar-SA"/>
        </w:rPr>
        <w:t>三</w:t>
      </w:r>
      <w:r>
        <w:rPr>
          <w:rFonts w:ascii="仿宋" w:hAnsi="仿宋" w:eastAsia="仿宋" w:cs="Times New Roman"/>
          <w:kern w:val="2"/>
          <w:sz w:val="32"/>
          <w:szCs w:val="32"/>
          <w:lang w:bidi="ar-SA"/>
        </w:rPr>
        <w:t>份，甲乙双方各</w:t>
      </w:r>
      <w:r>
        <w:rPr>
          <w:rFonts w:hint="eastAsia" w:ascii="仿宋" w:hAnsi="仿宋" w:eastAsia="仿宋" w:cs="Times New Roman"/>
          <w:kern w:val="2"/>
          <w:sz w:val="32"/>
          <w:szCs w:val="32"/>
          <w:lang w:bidi="ar-SA"/>
        </w:rPr>
        <w:t>一</w:t>
      </w:r>
      <w:r>
        <w:rPr>
          <w:rFonts w:ascii="仿宋" w:hAnsi="仿宋" w:eastAsia="仿宋" w:cs="Times New Roman"/>
          <w:kern w:val="2"/>
          <w:sz w:val="32"/>
          <w:szCs w:val="32"/>
          <w:lang w:bidi="ar-SA"/>
        </w:rPr>
        <w:t>份，渭南市财政局政府采购管理科、渭南市政府采购中心各备案一份。</w:t>
      </w:r>
    </w:p>
    <w:p w14:paraId="6701793C">
      <w:pPr>
        <w:pStyle w:val="4"/>
        <w:spacing w:after="100" w:line="360" w:lineRule="auto"/>
        <w:ind w:left="0" w:leftChars="0" w:firstLine="640" w:firstLineChars="200"/>
        <w:jc w:val="both"/>
        <w:rPr>
          <w:rFonts w:ascii="仿宋" w:hAnsi="仿宋" w:eastAsia="仿宋" w:cs="Times New Roman"/>
          <w:kern w:val="2"/>
          <w:sz w:val="32"/>
          <w:szCs w:val="32"/>
          <w:lang w:bidi="ar-SA"/>
        </w:rPr>
      </w:pPr>
      <w:r>
        <w:rPr>
          <w:rFonts w:ascii="仿宋" w:hAnsi="仿宋" w:eastAsia="仿宋" w:cs="Times New Roman"/>
          <w:kern w:val="2"/>
          <w:sz w:val="32"/>
          <w:szCs w:val="32"/>
          <w:lang w:bidi="ar-SA"/>
        </w:rPr>
        <w:t>2、合同执行过程中出现的未尽事宜，双方在不违背合同和招标文件的前提下协商解决。</w:t>
      </w:r>
    </w:p>
    <w:p w14:paraId="52B2FB25">
      <w:pPr>
        <w:pStyle w:val="4"/>
        <w:spacing w:after="100" w:line="360" w:lineRule="auto"/>
        <w:ind w:firstLine="500"/>
        <w:jc w:val="both"/>
        <w:rPr>
          <w:rFonts w:ascii="仿宋" w:hAnsi="仿宋" w:eastAsia="仿宋" w:cs="Times New Roman"/>
          <w:kern w:val="2"/>
          <w:sz w:val="32"/>
          <w:szCs w:val="32"/>
          <w:lang w:bidi="ar-SA"/>
        </w:rPr>
      </w:pPr>
    </w:p>
    <w:p w14:paraId="48568482">
      <w:pPr>
        <w:pStyle w:val="4"/>
        <w:spacing w:after="100" w:line="360" w:lineRule="auto"/>
        <w:ind w:firstLine="500"/>
        <w:jc w:val="both"/>
        <w:rPr>
          <w:rFonts w:ascii="仿宋" w:hAnsi="仿宋" w:eastAsia="仿宋" w:cs="Times New Roman"/>
          <w:kern w:val="2"/>
          <w:sz w:val="32"/>
          <w:szCs w:val="32"/>
          <w:lang w:bidi="ar-SA"/>
        </w:rPr>
      </w:pPr>
    </w:p>
    <w:p w14:paraId="3446D3C6">
      <w:pPr>
        <w:pStyle w:val="4"/>
        <w:spacing w:after="100" w:line="360" w:lineRule="auto"/>
        <w:ind w:firstLine="500"/>
        <w:jc w:val="both"/>
        <w:rPr>
          <w:rFonts w:hint="eastAsia" w:ascii="仿宋" w:hAnsi="仿宋" w:eastAsia="仿宋" w:cs="Times New Roman"/>
          <w:kern w:val="2"/>
          <w:sz w:val="32"/>
          <w:szCs w:val="32"/>
          <w:lang w:bidi="ar-SA"/>
        </w:rPr>
      </w:pPr>
    </w:p>
    <w:tbl>
      <w:tblPr>
        <w:tblStyle w:val="2"/>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4678"/>
      </w:tblGrid>
      <w:tr w14:paraId="4634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38A3F39C">
            <w:pPr>
              <w:spacing w:line="440" w:lineRule="exact"/>
              <w:jc w:val="center"/>
              <w:rPr>
                <w:rFonts w:ascii="仿宋" w:hAnsi="仿宋" w:eastAsia="仿宋"/>
              </w:rPr>
            </w:pPr>
            <w:r>
              <w:rPr>
                <w:rFonts w:hint="eastAsia" w:ascii="仿宋" w:hAnsi="仿宋" w:eastAsia="仿宋"/>
              </w:rPr>
              <w:t>甲  方</w:t>
            </w:r>
          </w:p>
        </w:tc>
        <w:tc>
          <w:tcPr>
            <w:tcW w:w="4678" w:type="dxa"/>
            <w:noWrap w:val="0"/>
            <w:vAlign w:val="top"/>
          </w:tcPr>
          <w:p w14:paraId="6EB7D1EC">
            <w:pPr>
              <w:spacing w:line="440" w:lineRule="exact"/>
              <w:jc w:val="center"/>
              <w:rPr>
                <w:rFonts w:ascii="仿宋" w:hAnsi="仿宋" w:eastAsia="仿宋"/>
              </w:rPr>
            </w:pPr>
            <w:r>
              <w:rPr>
                <w:rFonts w:hint="eastAsia" w:ascii="仿宋" w:hAnsi="仿宋" w:eastAsia="仿宋"/>
              </w:rPr>
              <w:t>乙  方</w:t>
            </w:r>
          </w:p>
        </w:tc>
      </w:tr>
      <w:tr w14:paraId="789C8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center"/>
          </w:tcPr>
          <w:p w14:paraId="47F414BC">
            <w:pPr>
              <w:spacing w:line="300" w:lineRule="exact"/>
              <w:jc w:val="center"/>
              <w:rPr>
                <w:rFonts w:ascii="仿宋" w:hAnsi="仿宋" w:eastAsia="仿宋"/>
                <w:szCs w:val="21"/>
              </w:rPr>
            </w:pPr>
            <w:r>
              <w:rPr>
                <w:rFonts w:hint="eastAsia" w:ascii="仿宋" w:hAnsi="仿宋" w:eastAsia="仿宋"/>
                <w:szCs w:val="21"/>
              </w:rPr>
              <w:t>采购人名称</w:t>
            </w:r>
          </w:p>
          <w:p w14:paraId="247FE59B">
            <w:pPr>
              <w:spacing w:line="300" w:lineRule="exact"/>
              <w:jc w:val="center"/>
              <w:rPr>
                <w:rFonts w:ascii="仿宋" w:hAnsi="仿宋" w:eastAsia="仿宋"/>
                <w:szCs w:val="21"/>
              </w:rPr>
            </w:pPr>
            <w:r>
              <w:rPr>
                <w:rFonts w:hint="eastAsia" w:ascii="仿宋" w:hAnsi="仿宋" w:eastAsia="仿宋"/>
                <w:szCs w:val="21"/>
              </w:rPr>
              <w:t>（盖章）</w:t>
            </w:r>
          </w:p>
        </w:tc>
        <w:tc>
          <w:tcPr>
            <w:tcW w:w="4678" w:type="dxa"/>
            <w:noWrap w:val="0"/>
            <w:vAlign w:val="center"/>
          </w:tcPr>
          <w:p w14:paraId="04D96B44">
            <w:pPr>
              <w:spacing w:line="300" w:lineRule="exact"/>
              <w:jc w:val="center"/>
              <w:rPr>
                <w:rFonts w:ascii="仿宋" w:hAnsi="仿宋" w:eastAsia="仿宋"/>
                <w:szCs w:val="21"/>
              </w:rPr>
            </w:pPr>
            <w:r>
              <w:rPr>
                <w:rFonts w:hint="eastAsia" w:ascii="仿宋" w:hAnsi="仿宋" w:eastAsia="仿宋"/>
                <w:szCs w:val="21"/>
              </w:rPr>
              <w:t>中标供应商全称</w:t>
            </w:r>
          </w:p>
          <w:p w14:paraId="5F6D80CD">
            <w:pPr>
              <w:spacing w:line="300" w:lineRule="exact"/>
              <w:jc w:val="center"/>
              <w:rPr>
                <w:rFonts w:ascii="仿宋" w:hAnsi="仿宋" w:eastAsia="仿宋"/>
                <w:szCs w:val="21"/>
              </w:rPr>
            </w:pPr>
            <w:r>
              <w:rPr>
                <w:rFonts w:hint="eastAsia" w:ascii="仿宋" w:hAnsi="仿宋" w:eastAsia="仿宋"/>
                <w:szCs w:val="21"/>
              </w:rPr>
              <w:t>（盖章）</w:t>
            </w:r>
          </w:p>
        </w:tc>
      </w:tr>
      <w:tr w14:paraId="68F82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477DFAE5">
            <w:pPr>
              <w:spacing w:line="440" w:lineRule="exact"/>
              <w:rPr>
                <w:rFonts w:ascii="仿宋" w:hAnsi="仿宋" w:eastAsia="仿宋"/>
                <w:szCs w:val="21"/>
              </w:rPr>
            </w:pPr>
            <w:r>
              <w:rPr>
                <w:rFonts w:hint="eastAsia" w:ascii="仿宋" w:hAnsi="仿宋" w:eastAsia="仿宋"/>
                <w:szCs w:val="21"/>
              </w:rPr>
              <w:t xml:space="preserve">地址： </w:t>
            </w:r>
          </w:p>
        </w:tc>
        <w:tc>
          <w:tcPr>
            <w:tcW w:w="4678" w:type="dxa"/>
            <w:noWrap w:val="0"/>
            <w:vAlign w:val="top"/>
          </w:tcPr>
          <w:p w14:paraId="249348E2">
            <w:pPr>
              <w:spacing w:line="440" w:lineRule="exact"/>
              <w:rPr>
                <w:rFonts w:ascii="仿宋" w:hAnsi="仿宋" w:eastAsia="仿宋"/>
                <w:szCs w:val="21"/>
              </w:rPr>
            </w:pPr>
            <w:r>
              <w:rPr>
                <w:rFonts w:hint="eastAsia" w:ascii="仿宋" w:hAnsi="仿宋" w:eastAsia="仿宋"/>
                <w:szCs w:val="21"/>
              </w:rPr>
              <w:t>地址：</w:t>
            </w:r>
          </w:p>
        </w:tc>
      </w:tr>
      <w:tr w14:paraId="30904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226A440D">
            <w:pPr>
              <w:spacing w:line="440" w:lineRule="exact"/>
              <w:rPr>
                <w:rFonts w:ascii="仿宋" w:hAnsi="仿宋" w:eastAsia="仿宋"/>
              </w:rPr>
            </w:pPr>
            <w:r>
              <w:rPr>
                <w:rFonts w:hint="eastAsia" w:ascii="仿宋" w:hAnsi="仿宋" w:eastAsia="仿宋"/>
                <w:szCs w:val="21"/>
              </w:rPr>
              <w:t>邮编：</w:t>
            </w:r>
          </w:p>
        </w:tc>
        <w:tc>
          <w:tcPr>
            <w:tcW w:w="4678" w:type="dxa"/>
            <w:noWrap w:val="0"/>
            <w:vAlign w:val="top"/>
          </w:tcPr>
          <w:p w14:paraId="7EAD67CE">
            <w:pPr>
              <w:spacing w:line="440" w:lineRule="exact"/>
              <w:rPr>
                <w:rFonts w:ascii="仿宋" w:hAnsi="仿宋" w:eastAsia="仿宋"/>
              </w:rPr>
            </w:pPr>
            <w:r>
              <w:rPr>
                <w:rFonts w:hint="eastAsia" w:ascii="仿宋" w:hAnsi="仿宋" w:eastAsia="仿宋"/>
                <w:szCs w:val="21"/>
              </w:rPr>
              <w:t>邮编：</w:t>
            </w:r>
          </w:p>
        </w:tc>
      </w:tr>
      <w:tr w14:paraId="4C420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644" w:type="dxa"/>
            <w:noWrap w:val="0"/>
            <w:vAlign w:val="top"/>
          </w:tcPr>
          <w:p w14:paraId="43036504">
            <w:pPr>
              <w:spacing w:line="440" w:lineRule="exact"/>
              <w:rPr>
                <w:rFonts w:ascii="仿宋" w:hAnsi="仿宋" w:eastAsia="仿宋"/>
                <w:szCs w:val="21"/>
              </w:rPr>
            </w:pPr>
            <w:r>
              <w:rPr>
                <w:rFonts w:hint="eastAsia" w:ascii="仿宋" w:hAnsi="仿宋" w:eastAsia="仿宋"/>
                <w:szCs w:val="21"/>
              </w:rPr>
              <w:t xml:space="preserve">法定代表人： </w:t>
            </w:r>
          </w:p>
        </w:tc>
        <w:tc>
          <w:tcPr>
            <w:tcW w:w="4678" w:type="dxa"/>
            <w:noWrap w:val="0"/>
            <w:vAlign w:val="top"/>
          </w:tcPr>
          <w:p w14:paraId="44C263D6">
            <w:pPr>
              <w:spacing w:line="440" w:lineRule="exact"/>
              <w:rPr>
                <w:rFonts w:ascii="仿宋" w:hAnsi="仿宋" w:eastAsia="仿宋"/>
              </w:rPr>
            </w:pPr>
            <w:r>
              <w:rPr>
                <w:rFonts w:hint="eastAsia" w:ascii="仿宋" w:hAnsi="仿宋" w:eastAsia="仿宋"/>
                <w:szCs w:val="21"/>
              </w:rPr>
              <w:t>法定代表人：</w:t>
            </w:r>
          </w:p>
        </w:tc>
      </w:tr>
      <w:tr w14:paraId="5D98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644" w:type="dxa"/>
            <w:noWrap w:val="0"/>
            <w:vAlign w:val="top"/>
          </w:tcPr>
          <w:p w14:paraId="38BE2D25">
            <w:pPr>
              <w:spacing w:line="440" w:lineRule="exact"/>
              <w:rPr>
                <w:rFonts w:ascii="仿宋" w:hAnsi="仿宋" w:eastAsia="仿宋"/>
              </w:rPr>
            </w:pPr>
            <w:r>
              <w:rPr>
                <w:rFonts w:hint="eastAsia" w:ascii="仿宋" w:hAnsi="仿宋" w:eastAsia="仿宋"/>
                <w:szCs w:val="21"/>
              </w:rPr>
              <w:t>被授权代表：（签字）</w:t>
            </w:r>
          </w:p>
        </w:tc>
        <w:tc>
          <w:tcPr>
            <w:tcW w:w="4678" w:type="dxa"/>
            <w:noWrap w:val="0"/>
            <w:vAlign w:val="top"/>
          </w:tcPr>
          <w:p w14:paraId="06CA09CF">
            <w:pPr>
              <w:spacing w:line="440" w:lineRule="exact"/>
              <w:rPr>
                <w:rFonts w:ascii="仿宋" w:hAnsi="仿宋" w:eastAsia="仿宋"/>
              </w:rPr>
            </w:pPr>
            <w:r>
              <w:rPr>
                <w:rFonts w:hint="eastAsia" w:ascii="仿宋" w:hAnsi="仿宋" w:eastAsia="仿宋"/>
                <w:szCs w:val="21"/>
              </w:rPr>
              <w:t>被授权代表：（签字）</w:t>
            </w:r>
          </w:p>
        </w:tc>
      </w:tr>
      <w:tr w14:paraId="5F28C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045971B1">
            <w:pPr>
              <w:spacing w:line="440" w:lineRule="exact"/>
              <w:rPr>
                <w:rFonts w:ascii="仿宋" w:hAnsi="仿宋" w:eastAsia="仿宋"/>
                <w:szCs w:val="21"/>
              </w:rPr>
            </w:pPr>
            <w:r>
              <w:rPr>
                <w:rFonts w:hint="eastAsia" w:ascii="仿宋" w:hAnsi="仿宋" w:eastAsia="仿宋"/>
                <w:szCs w:val="21"/>
              </w:rPr>
              <w:t>电话：</w:t>
            </w:r>
          </w:p>
        </w:tc>
        <w:tc>
          <w:tcPr>
            <w:tcW w:w="4678" w:type="dxa"/>
            <w:noWrap w:val="0"/>
            <w:vAlign w:val="top"/>
          </w:tcPr>
          <w:p w14:paraId="4F93708E">
            <w:pPr>
              <w:spacing w:line="440" w:lineRule="exact"/>
              <w:rPr>
                <w:rFonts w:ascii="仿宋" w:hAnsi="仿宋" w:eastAsia="仿宋"/>
              </w:rPr>
            </w:pPr>
            <w:r>
              <w:rPr>
                <w:rFonts w:hint="eastAsia" w:ascii="仿宋" w:hAnsi="仿宋" w:eastAsia="仿宋"/>
                <w:szCs w:val="21"/>
              </w:rPr>
              <w:t>电话：</w:t>
            </w:r>
          </w:p>
        </w:tc>
      </w:tr>
      <w:tr w14:paraId="69CF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2CFD9091">
            <w:pPr>
              <w:spacing w:line="440" w:lineRule="exact"/>
              <w:rPr>
                <w:rFonts w:ascii="仿宋" w:hAnsi="仿宋" w:eastAsia="仿宋"/>
                <w:szCs w:val="21"/>
              </w:rPr>
            </w:pPr>
            <w:r>
              <w:rPr>
                <w:rFonts w:hint="eastAsia" w:ascii="仿宋" w:hAnsi="仿宋" w:eastAsia="仿宋"/>
                <w:szCs w:val="21"/>
              </w:rPr>
              <w:t>传真：</w:t>
            </w:r>
          </w:p>
        </w:tc>
        <w:tc>
          <w:tcPr>
            <w:tcW w:w="4678" w:type="dxa"/>
            <w:noWrap w:val="0"/>
            <w:vAlign w:val="top"/>
          </w:tcPr>
          <w:p w14:paraId="03F95C55">
            <w:pPr>
              <w:spacing w:line="440" w:lineRule="exact"/>
              <w:rPr>
                <w:rFonts w:ascii="仿宋" w:hAnsi="仿宋" w:eastAsia="仿宋"/>
              </w:rPr>
            </w:pPr>
            <w:r>
              <w:rPr>
                <w:rFonts w:hint="eastAsia" w:ascii="仿宋" w:hAnsi="仿宋" w:eastAsia="仿宋"/>
                <w:szCs w:val="21"/>
              </w:rPr>
              <w:t>传真：</w:t>
            </w:r>
          </w:p>
        </w:tc>
      </w:tr>
      <w:tr w14:paraId="12E0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31567C89">
            <w:pPr>
              <w:spacing w:line="440" w:lineRule="exact"/>
              <w:rPr>
                <w:rFonts w:ascii="仿宋" w:hAnsi="仿宋" w:eastAsia="仿宋"/>
              </w:rPr>
            </w:pPr>
          </w:p>
        </w:tc>
        <w:tc>
          <w:tcPr>
            <w:tcW w:w="4678" w:type="dxa"/>
            <w:noWrap w:val="0"/>
            <w:vAlign w:val="top"/>
          </w:tcPr>
          <w:p w14:paraId="2878BC62">
            <w:pPr>
              <w:spacing w:line="440" w:lineRule="exact"/>
              <w:rPr>
                <w:rFonts w:ascii="仿宋" w:hAnsi="仿宋" w:eastAsia="仿宋"/>
              </w:rPr>
            </w:pPr>
            <w:r>
              <w:rPr>
                <w:rFonts w:hint="eastAsia" w:ascii="仿宋" w:hAnsi="仿宋" w:eastAsia="仿宋"/>
                <w:szCs w:val="21"/>
              </w:rPr>
              <w:t>开户银行：</w:t>
            </w:r>
          </w:p>
        </w:tc>
      </w:tr>
      <w:tr w14:paraId="29F6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4644" w:type="dxa"/>
            <w:noWrap w:val="0"/>
            <w:vAlign w:val="top"/>
          </w:tcPr>
          <w:p w14:paraId="18F9B608">
            <w:pPr>
              <w:spacing w:line="440" w:lineRule="exact"/>
              <w:rPr>
                <w:rFonts w:ascii="仿宋" w:hAnsi="仿宋" w:eastAsia="仿宋"/>
              </w:rPr>
            </w:pPr>
          </w:p>
        </w:tc>
        <w:tc>
          <w:tcPr>
            <w:tcW w:w="4678" w:type="dxa"/>
            <w:noWrap w:val="0"/>
            <w:vAlign w:val="top"/>
          </w:tcPr>
          <w:p w14:paraId="708B331A">
            <w:pPr>
              <w:spacing w:line="440" w:lineRule="exact"/>
              <w:rPr>
                <w:rFonts w:ascii="仿宋" w:hAnsi="仿宋" w:eastAsia="仿宋"/>
                <w:szCs w:val="21"/>
              </w:rPr>
            </w:pPr>
            <w:r>
              <w:rPr>
                <w:rFonts w:hint="eastAsia" w:ascii="仿宋" w:hAnsi="仿宋" w:eastAsia="仿宋"/>
                <w:szCs w:val="21"/>
              </w:rPr>
              <w:t>帐号：</w:t>
            </w:r>
          </w:p>
        </w:tc>
      </w:tr>
      <w:tr w14:paraId="3DED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0B1778BD">
            <w:pPr>
              <w:spacing w:line="440" w:lineRule="exact"/>
              <w:rPr>
                <w:rFonts w:ascii="仿宋" w:hAnsi="仿宋" w:eastAsia="仿宋"/>
              </w:rPr>
            </w:pPr>
            <w:r>
              <w:rPr>
                <w:rFonts w:hint="eastAsia" w:ascii="仿宋" w:hAnsi="仿宋" w:eastAsia="仿宋"/>
                <w:szCs w:val="21"/>
              </w:rPr>
              <w:t>日期：   年   月   日</w:t>
            </w:r>
          </w:p>
        </w:tc>
        <w:tc>
          <w:tcPr>
            <w:tcW w:w="4678" w:type="dxa"/>
            <w:noWrap w:val="0"/>
            <w:vAlign w:val="top"/>
          </w:tcPr>
          <w:p w14:paraId="2BA1567D">
            <w:pPr>
              <w:spacing w:line="440" w:lineRule="exact"/>
              <w:rPr>
                <w:rFonts w:ascii="仿宋" w:hAnsi="仿宋" w:eastAsia="仿宋"/>
              </w:rPr>
            </w:pPr>
            <w:r>
              <w:rPr>
                <w:rFonts w:hint="eastAsia" w:ascii="仿宋" w:hAnsi="仿宋" w:eastAsia="仿宋"/>
                <w:szCs w:val="21"/>
              </w:rPr>
              <w:t>日期：   年   月   日</w:t>
            </w:r>
          </w:p>
        </w:tc>
      </w:tr>
    </w:tbl>
    <w:p w14:paraId="1E1DCA35">
      <w:pPr>
        <w:spacing w:line="500" w:lineRule="exact"/>
        <w:rPr>
          <w:rFonts w:ascii="仿宋" w:hAnsi="仿宋" w:eastAsia="仿宋"/>
          <w:sz w:val="28"/>
          <w:szCs w:val="28"/>
          <w:lang w:val="zh-CN"/>
        </w:rPr>
      </w:pPr>
      <w:r>
        <w:rPr>
          <w:rFonts w:hint="eastAsia" w:ascii="仿宋" w:hAnsi="仿宋" w:eastAsia="仿宋"/>
          <w:sz w:val="42"/>
          <w:szCs w:val="42"/>
        </w:rPr>
        <w:t xml:space="preserve">   </w:t>
      </w:r>
      <w:r>
        <w:rPr>
          <w:rFonts w:hint="eastAsia" w:ascii="仿宋" w:hAnsi="仿宋" w:eastAsia="仿宋"/>
          <w:sz w:val="28"/>
          <w:szCs w:val="28"/>
          <w:lang w:val="zh-CN"/>
        </w:rPr>
        <w:t>备注：以上合同条款中，甲方</w:t>
      </w:r>
      <w:bookmarkStart w:id="0" w:name="_GoBack"/>
      <w:bookmarkEnd w:id="0"/>
      <w:r>
        <w:rPr>
          <w:rFonts w:hint="eastAsia" w:ascii="仿宋" w:hAnsi="仿宋" w:eastAsia="仿宋"/>
          <w:sz w:val="28"/>
          <w:szCs w:val="28"/>
          <w:lang w:val="zh-CN"/>
        </w:rPr>
        <w:t>为采购人，乙方为中标供应商。</w:t>
      </w:r>
    </w:p>
    <w:p w14:paraId="2F987720">
      <w:pPr>
        <w:autoSpaceDE w:val="0"/>
        <w:autoSpaceDN w:val="0"/>
        <w:adjustRightInd w:val="0"/>
        <w:snapToGrid w:val="0"/>
        <w:spacing w:line="560" w:lineRule="exact"/>
        <w:jc w:val="center"/>
        <w:outlineLvl w:val="0"/>
        <w:rPr>
          <w:rFonts w:ascii="宋体" w:hAnsi="宋体"/>
          <w:b/>
          <w:bCs/>
          <w:sz w:val="32"/>
          <w:szCs w:val="32"/>
          <w:lang w:val="zh-CN"/>
        </w:rPr>
      </w:pPr>
    </w:p>
    <w:p w14:paraId="7BA549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761AA"/>
    <w:multiLevelType w:val="singleLevel"/>
    <w:tmpl w:val="DF1761A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DE6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文本1"/>
    <w:basedOn w:val="1"/>
    <w:qFormat/>
    <w:uiPriority w:val="0"/>
    <w:pPr>
      <w:spacing w:line="439" w:lineRule="auto"/>
      <w:ind w:firstLine="400"/>
      <w:jc w:val="left"/>
    </w:pPr>
    <w:rPr>
      <w:rFonts w:ascii="宋体" w:hAnsi="宋体" w:eastAsia="宋体" w:cs="宋体"/>
      <w:kern w:val="0"/>
      <w:sz w:val="20"/>
      <w:lang w:val="zh-CN" w:bidi="zh-CN"/>
    </w:rPr>
  </w:style>
  <w:style w:type="paragraph" w:customStyle="1" w:styleId="5">
    <w:name w:val="表格标题"/>
    <w:basedOn w:val="1"/>
    <w:qFormat/>
    <w:uiPriority w:val="0"/>
    <w:pPr>
      <w:jc w:val="left"/>
    </w:pPr>
    <w:rPr>
      <w:rFonts w:ascii="宋体" w:hAnsi="宋体" w:eastAsia="宋体" w:cs="宋体"/>
      <w:kern w:val="0"/>
      <w:sz w:val="20"/>
      <w:lang w:val="zh-CN" w:bidi="zh-CN"/>
    </w:rPr>
  </w:style>
  <w:style w:type="paragraph" w:customStyle="1" w:styleId="6">
    <w:name w:val="其他"/>
    <w:basedOn w:val="1"/>
    <w:qFormat/>
    <w:uiPriority w:val="0"/>
    <w:pPr>
      <w:spacing w:line="439" w:lineRule="auto"/>
      <w:ind w:firstLine="400"/>
      <w:jc w:val="left"/>
    </w:pPr>
    <w:rPr>
      <w:rFonts w:ascii="宋体" w:hAnsi="宋体" w:eastAsia="宋体" w:cs="宋体"/>
      <w:kern w:val="0"/>
      <w:sz w:val="20"/>
      <w:lang w:val="zh-CN" w:bidi="zh-CN"/>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2025-06-18T03:04:34Z</dcterms:created>
  <dc:creator>Administrator</dc:creator>
  <cp:lastModifiedBy>独狼</cp:lastModifiedBy>
  <dcterms:modified xsi:type="dcterms:W3CDTF">2025-06-18T03:26:31Z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eyJoZGlkIjoiNjllYmE1ZDdiMmIwMTg0ZjJlYTU5ZTAxYzQ0ZjZkYmUiLCJ1c2VySWQiOiIzODM3OTY3MTAifQ==</vt:lpwstr>
  </property>
  <property fmtid="{D5CDD505-2E9C-101B-9397-08002B2CF9AE}" pid="4" name="ICV">
    <vt:lpwstr>9896E6C2486148F8811524BBE850A6E4_12</vt:lpwstr>
  </property>
</Properties>
</file>