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版本号：ZCSP-渭南市-2025-00488、XHLJZC-WN2025-06420250625001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渭南市城乡分散供养特困人员生活现状综合评估项目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ZCSP-渭南市-2025-00488、XHLJZC-WN2025-064</w:t>
      </w:r>
      <w:r>
        <w:br/>
      </w:r>
      <w:r>
        <w:br/>
      </w:r>
      <w:r>
        <w:br/>
      </w:r>
    </w:p>
    <w:p>
      <w:pPr>
        <w:pStyle w:val="null3"/>
        <w:jc w:val="center"/>
        <w:outlineLvl w:val="2"/>
      </w:pPr>
      <w:r>
        <w:rPr>
          <w:rFonts w:ascii="仿宋_GB2312" w:hAnsi="仿宋_GB2312" w:cs="仿宋_GB2312" w:eastAsia="仿宋_GB2312"/>
          <w:sz w:val="28"/>
          <w:b/>
        </w:rPr>
        <w:t>渭南市民政局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渭南市民政局</w:t>
      </w:r>
      <w:r>
        <w:rPr>
          <w:rFonts w:ascii="仿宋_GB2312" w:hAnsi="仿宋_GB2312" w:cs="仿宋_GB2312" w:eastAsia="仿宋_GB2312"/>
        </w:rPr>
        <w:t>委托，拟对</w:t>
      </w:r>
      <w:r>
        <w:rPr>
          <w:rFonts w:ascii="仿宋_GB2312" w:hAnsi="仿宋_GB2312" w:cs="仿宋_GB2312" w:eastAsia="仿宋_GB2312"/>
        </w:rPr>
        <w:t>渭南市城乡分散供养特困人员生活现状综合评估项目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ZCSP-渭南市-2025-00488、XHLJZC-WN2025-064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渭南市城乡分散供养特困人员生活现状综合评估项目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渭南市城乡分散供养特困人员生活现状综合评估，详见磋商文件。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采购包1（渭南市民政局渭南市城乡分散供养特困人员生活现状综合评估项目）：属于专门面向中小企业采购。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 ：提供2023年度经审计的财务报告或开标前六个月内其基本账户银行出具的资信证明或财政部门认可的政府采购专业担保机构出具的担保函。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 ：提供2024年1月以来任意3个月依法缴纳税收和社会保险的相关证明材料；注：依法免税或不需要缴纳社会保险的供应商提供相关部门出具的证明文件。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 ：提供具有履行合同所必需的设备和专业技术能力的承诺。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 ：提供参加政府采购活动前3年内在经营活动中没有重大违法记录的书面声明。</w:t>
      </w:r>
    </w:p>
    <w:p>
      <w:pPr>
        <w:pStyle w:val="null3"/>
      </w:pPr>
      <w:r>
        <w:rPr>
          <w:rFonts w:ascii="仿宋_GB2312" w:hAnsi="仿宋_GB2312" w:cs="仿宋_GB2312" w:eastAsia="仿宋_GB2312"/>
        </w:rPr>
        <w:t>7、投标承诺 ：单位负责人为同一人或者存在直接控股、管理关系的不同供应商，不得参加同一合同项下的政府采购活动。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 ：提供《中小企业声明函》；供应商为监狱企业的，应提供监狱企业相关资格证明材料；供应商为残疾人福利性单位的，应提供《残疾人福利性单位声明函》。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临渭区车雷大街69号市民综合服务中心6楼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100万-500万按0.8%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渭南市民政局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渭南市城乡分散供养特困人员生活现状综合评估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渭南市城乡分散供养特困人员生活现状综合评估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标的名称：渭南市城乡分散供养特困人员生活现状综合评估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1"/>
                <w:b/>
              </w:rPr>
              <w:t>实施背景：</w:t>
            </w:r>
          </w:p>
          <w:p>
            <w:pPr>
              <w:pStyle w:val="null3"/>
              <w:ind w:firstLine="560"/>
              <w:jc w:val="both"/>
            </w:pPr>
            <w:r>
              <w:rPr>
                <w:rFonts w:ascii="仿宋_GB2312" w:hAnsi="仿宋_GB2312" w:cs="仿宋_GB2312" w:eastAsia="仿宋_GB2312"/>
                <w:sz w:val="21"/>
              </w:rPr>
              <w:t>近年来，特困人员照护服务不到位等问题进一步凸显，为摸清分散供养特困人员生活现状，加强照料服务，规范管理，满足生活基本需求，切实保障分散供养特困人员生活权益，拟通过购买第三方服务方式开展全市城乡分散特困人员生活现状综合评估。</w:t>
            </w:r>
          </w:p>
          <w:p>
            <w:pPr>
              <w:pStyle w:val="null3"/>
              <w:numPr>
                <w:ilvl w:val="0"/>
                <w:numId w:val="1"/>
              </w:numPr>
              <w:jc w:val="both"/>
            </w:pPr>
            <w:r>
              <w:rPr>
                <w:rFonts w:ascii="仿宋_GB2312" w:hAnsi="仿宋_GB2312" w:cs="仿宋_GB2312" w:eastAsia="仿宋_GB2312"/>
                <w:sz w:val="21"/>
                <w:b/>
              </w:rPr>
              <w:t>实施内容：</w:t>
            </w:r>
          </w:p>
          <w:p>
            <w:pPr>
              <w:pStyle w:val="null3"/>
              <w:ind w:firstLine="560"/>
              <w:jc w:val="both"/>
            </w:pPr>
            <w:r>
              <w:rPr>
                <w:rFonts w:ascii="仿宋_GB2312" w:hAnsi="仿宋_GB2312" w:cs="仿宋_GB2312" w:eastAsia="仿宋_GB2312"/>
                <w:sz w:val="21"/>
              </w:rPr>
              <w:t>按照《老年人能力评估规范》国家标准GB/T42195—2022、陕西省民政厅关于印发《分散供养特困人员照料服务指南》的通知（陕民发〔2021〕52号）、陕西省民政厅、司法厅、省高院、省检察院《关于进一步加强分散供养特困人员照料服务监管工作的通知》（陕民发〔2025〕40号）、渭南市人民政府《关于进一步健全特困人员救助供养制度的实施意见》（渭政发〔2018〕13号）、渭南市民政局关于转发《民政部&lt;关于印发特困人员认定办法&gt;的通知》（渭民发〔2021〕104号）、渭南市民政局《关于规范和加强社会救助审核确认权限下放至乡镇（街道）后监管工作的通知》（渭民发〔2024〕48号）、省民政厅等15部门关于印发《陕西省低收入人口认定和救助帮扶办法》（陕民发〔2024〕76号）等文件规定，拟委托具有评估能力的第三方专业机构，对全市约8500名分散供养特困人员（具体人数按照实施当月在册发放名单为准）逐人开展自理能力、照护服务能力、服务需求和管理工作综合评估，“一户一档”建立档案资料，并对各县（市、区）工作落实情况进行一次全面评估，为进一步规范管理，分层分类实施社会救助服务提供有力支撑。</w:t>
            </w:r>
          </w:p>
          <w:p>
            <w:pPr>
              <w:pStyle w:val="null3"/>
              <w:ind w:firstLine="560"/>
              <w:jc w:val="left"/>
            </w:pPr>
            <w:r>
              <w:rPr>
                <w:rFonts w:ascii="仿宋_GB2312" w:hAnsi="仿宋_GB2312" w:cs="仿宋_GB2312" w:eastAsia="仿宋_GB2312"/>
                <w:sz w:val="21"/>
              </w:rPr>
              <w:t>（一）特困人员认定准确率评估。渭南市人民政府《关于进一步健全特困人员救助供养制度的实施意见》（渭政发〔2018〕13号）、渭南市民政局关于转发《民政部&lt;关于印发特困人员认定办法&gt;的通知》（渭民发〔2021〕104号）、省民政厅等15部门关于印发《陕西省低收入人口认定和救助帮扶办法》（陕民发〔2024〕76号）确定认定准确性。</w:t>
            </w:r>
          </w:p>
          <w:p>
            <w:pPr>
              <w:pStyle w:val="null3"/>
              <w:ind w:firstLine="560"/>
              <w:jc w:val="left"/>
            </w:pPr>
            <w:r>
              <w:rPr>
                <w:rFonts w:ascii="仿宋_GB2312" w:hAnsi="仿宋_GB2312" w:cs="仿宋_GB2312" w:eastAsia="仿宋_GB2312"/>
                <w:sz w:val="21"/>
              </w:rPr>
              <w:t>（二）分散特困人员自理能力评估。按照《老年人能力评估规范》国家标准GB/T42195—2022，准确认定人员自理能力。</w:t>
            </w:r>
          </w:p>
          <w:p>
            <w:pPr>
              <w:pStyle w:val="null3"/>
            </w:pPr>
            <w:r>
              <w:rPr>
                <w:rFonts w:ascii="仿宋_GB2312" w:hAnsi="仿宋_GB2312" w:cs="仿宋_GB2312" w:eastAsia="仿宋_GB2312"/>
                <w:sz w:val="21"/>
              </w:rPr>
              <w:t xml:space="preserve">    （三）照料护理人护理照护责任落实评估。按照相关文件，采取以特困人员满意度调查、邻里评价、民主评议、第三方评估等方式进行评价。</w:t>
            </w:r>
          </w:p>
          <w:p>
            <w:pPr>
              <w:pStyle w:val="null3"/>
              <w:ind w:firstLine="560"/>
              <w:jc w:val="left"/>
            </w:pPr>
            <w:r>
              <w:rPr>
                <w:rFonts w:ascii="仿宋_GB2312" w:hAnsi="仿宋_GB2312" w:cs="仿宋_GB2312" w:eastAsia="仿宋_GB2312"/>
                <w:sz w:val="21"/>
              </w:rPr>
              <w:t>（四）服务需求调研。对调研对象生活等服务需求进行调查，建立服务需求清单。</w:t>
            </w:r>
          </w:p>
          <w:p>
            <w:pPr>
              <w:pStyle w:val="null3"/>
              <w:ind w:firstLine="640"/>
            </w:pPr>
            <w:r>
              <w:rPr>
                <w:rFonts w:ascii="仿宋_GB2312" w:hAnsi="仿宋_GB2312" w:cs="仿宋_GB2312" w:eastAsia="仿宋_GB2312"/>
                <w:sz w:val="21"/>
              </w:rPr>
              <w:t>（五）综合效能绩效评估：</w:t>
            </w:r>
          </w:p>
          <w:p>
            <w:pPr>
              <w:pStyle w:val="null3"/>
              <w:ind w:firstLine="640"/>
            </w:pPr>
            <w:r>
              <w:rPr>
                <w:rFonts w:ascii="仿宋_GB2312" w:hAnsi="仿宋_GB2312" w:cs="仿宋_GB2312" w:eastAsia="仿宋_GB2312"/>
                <w:sz w:val="21"/>
              </w:rPr>
              <w:t>1.县级是否按照渭南市民政局《关于规范和加强社会救助审核确认权限下放至乡镇（街道）后监管工作的通知》（渭民发〔2024〕48号）落实监管责任。</w:t>
            </w:r>
          </w:p>
          <w:p>
            <w:pPr>
              <w:pStyle w:val="null3"/>
              <w:ind w:firstLine="640"/>
            </w:pPr>
            <w:r>
              <w:rPr>
                <w:rFonts w:ascii="仿宋_GB2312" w:hAnsi="仿宋_GB2312" w:cs="仿宋_GB2312" w:eastAsia="仿宋_GB2312"/>
                <w:sz w:val="21"/>
              </w:rPr>
              <w:t>2.乡镇（街道）是否按照程序审核审批特困人员，要落实分散供养特困人员定期探视探访制度，督促照料服务人认真履行照料服务责任，按照协议开展照料服务工作；督促指导村（居）民委员会加强对分散供养特困人员照料服务情况的日常监督。</w:t>
            </w:r>
          </w:p>
          <w:p>
            <w:pPr>
              <w:pStyle w:val="null3"/>
              <w:ind w:firstLine="640"/>
            </w:pPr>
            <w:r>
              <w:rPr>
                <w:rFonts w:ascii="仿宋_GB2312" w:hAnsi="仿宋_GB2312" w:cs="仿宋_GB2312" w:eastAsia="仿宋_GB2312"/>
                <w:sz w:val="21"/>
              </w:rPr>
              <w:t>3.村（居）民委员会要协助做好分散供养特困人员照料服务工作，加强对照料服务人履行照料服务责任的监督指导，发现照料服务缺失或不到位的，及时向乡镇（街道）或县级民政部门报告。</w:t>
            </w:r>
          </w:p>
          <w:p>
            <w:pPr>
              <w:pStyle w:val="null3"/>
              <w:ind w:firstLine="640"/>
            </w:pPr>
            <w:r>
              <w:rPr>
                <w:rFonts w:ascii="仿宋_GB2312" w:hAnsi="仿宋_GB2312" w:cs="仿宋_GB2312" w:eastAsia="仿宋_GB2312"/>
                <w:sz w:val="21"/>
              </w:rPr>
              <w:t>4.调研了解是否有“应保未保”情形。</w:t>
            </w:r>
          </w:p>
          <w:p>
            <w:pPr>
              <w:pStyle w:val="null3"/>
              <w:ind w:firstLine="640"/>
            </w:pPr>
            <w:r>
              <w:rPr>
                <w:rFonts w:ascii="仿宋_GB2312" w:hAnsi="仿宋_GB2312" w:cs="仿宋_GB2312" w:eastAsia="仿宋_GB2312"/>
                <w:sz w:val="21"/>
              </w:rPr>
              <w:t>5.宣传公示情况。</w:t>
            </w:r>
          </w:p>
          <w:p>
            <w:pPr>
              <w:pStyle w:val="null3"/>
              <w:ind w:firstLine="640"/>
            </w:pPr>
            <w:r>
              <w:rPr>
                <w:rFonts w:ascii="仿宋_GB2312" w:hAnsi="仿宋_GB2312" w:cs="仿宋_GB2312" w:eastAsia="仿宋_GB2312"/>
                <w:sz w:val="21"/>
              </w:rPr>
              <w:t>6.代持卡（折）情况。</w:t>
            </w:r>
          </w:p>
          <w:p>
            <w:pPr>
              <w:pStyle w:val="null3"/>
              <w:ind w:firstLine="640"/>
            </w:pPr>
            <w:r>
              <w:rPr>
                <w:rFonts w:ascii="仿宋_GB2312" w:hAnsi="仿宋_GB2312" w:cs="仿宋_GB2312" w:eastAsia="仿宋_GB2312"/>
                <w:sz w:val="21"/>
              </w:rPr>
              <w:t>7.协议等“一户一档”建立情况。</w:t>
            </w:r>
          </w:p>
          <w:p>
            <w:pPr>
              <w:pStyle w:val="null3"/>
              <w:ind w:firstLine="640"/>
            </w:pPr>
            <w:r>
              <w:rPr>
                <w:rFonts w:ascii="仿宋_GB2312" w:hAnsi="仿宋_GB2312" w:cs="仿宋_GB2312" w:eastAsia="仿宋_GB2312"/>
                <w:sz w:val="21"/>
              </w:rPr>
              <w:t>8.文件要求的其他需评估的工作内容。</w:t>
            </w:r>
          </w:p>
          <w:p>
            <w:pPr>
              <w:pStyle w:val="null3"/>
              <w:ind w:firstLine="560"/>
              <w:jc w:val="left"/>
            </w:pPr>
            <w:r>
              <w:rPr>
                <w:rFonts w:ascii="仿宋_GB2312" w:hAnsi="仿宋_GB2312" w:cs="仿宋_GB2312" w:eastAsia="仿宋_GB2312"/>
                <w:sz w:val="21"/>
              </w:rPr>
              <w:t>（六）特困人员和照料护理人对村（社区）、镇（街道）工作满意度。分区间打分。</w:t>
            </w:r>
          </w:p>
          <w:p>
            <w:pPr>
              <w:pStyle w:val="null3"/>
            </w:pPr>
            <w:r>
              <w:rPr>
                <w:rFonts w:ascii="仿宋_GB2312" w:hAnsi="仿宋_GB2312" w:cs="仿宋_GB2312" w:eastAsia="仿宋_GB2312"/>
                <w:sz w:val="21"/>
              </w:rPr>
              <w:t>（七）综合效能评估分析报告。对调研内容形成评估分析报告并下一步工作建议。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合同签订后4个月内完成所有服务内容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渭南市民政局指定地点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第二个月实施完成验收合格后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第四个月验收合格后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交成果资料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供应商资格声明文件 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供应商资格证明文件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供应商提供针对本项目的服务方案，内容包括： ①调查整体方案。 ②调查对象安排方案。 ③组织协调措施。 ④综合评估实施方案。 ⑤分析报告及结果分析情况。 2、评审标准 ①完整性：方案须全面，对评审内容中的各项要求有详细描述及说明； ②可实施性：切合本项目实际情况，实施步骤清晰、合理； ③针对性：方案能够紧扣项目实际情况，内容科学合理。 3、赋分标准 ①调查整体方案：每满足一项评审标准得1分，满分3分； ②调查对象安排方案：每满足一项评审标准得1分，满分3分； ③组织协调措施：每满足一项评审标准得1分，满分3分； ④综合评估实施方案：每满足一项评审标准得1分，满分3分； ⑤分析报告及结果分析情况：每满足一项评审标准得1分，满分3分。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具有统计、社会工作类专业本科以上学历的得5分，未提供不得分。 注： （1）提供证书复印件。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供应商提供拟派本项目工作人员组成情况（有具体成员名单，包括姓名、工作经验、工作职责、联系方式、专业证书、社保缴纳证明材料等） 2、评审标准 ①完整性：组织机构的运行配备完善、各岗位人员分工明确合理。 ②针对性：负责现场调查人员至少8人，数据分析人员至少1人；后勤保障人员至少2人；人员数量充足，人员资格/年龄等符合采购需求； ③专业性：负责现场调查人员应为统计学、社会工作类专业人员，数据分析人员应具备数据分析师证书，后勤保障人员须具有5年以上驾龄，人员相关岗位经验丰富，切合本项目实际情况。 3、赋分标准 每完全满足一项评审标准并提供证明材料得2分，满分6分；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供应商根据本项目的内容及要求编制管理制度方案，内容包括： ①安全保密制度； ②保密流程及规范； ③突发事故应急方案。 2、评审标准 ①完整性：内容须全面，对评审内容中的各项要求有详细描述及说明； ②可实施性：切合本项目实际情况，实施步骤清晰、合理； ③针对性：内容能够紧扣项目实际情况，内容科学合理。 3、赋分标准 ①安全保密制度：每满足一项评审标准得1分，满分3分； ②保密流程及规范：每满足一项评审标准得1分，满分3分； ③突发事故应急方案：每满足一项评审标准得1分，满分3分。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 供应商提供针对本项目的工作进度安排，方案内容括： ①评估服务工作进度安排方案 ②评估服务工作进度保障措施。 2、评审标准 ①完整性：必须全面，对评审内容中的各项要求有详细描述； ②可实施性：切合本项目实际情况，提出步骤清晰、合理的内容； ③针对性：能紧扣项目实际情况，内容科学合理。 3、赋分标准 ①评估服务工作进度安排方案：每完全满足一个评审标准得1分，满分3分； ②评估服务工作进度保障措施：每完全满足一个评审标准得1分，满分3分；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数据处理平台</w:t>
            </w:r>
          </w:p>
        </w:tc>
        <w:tc>
          <w:tcPr>
            <w:tcW w:type="dxa" w:w="2492"/>
          </w:tcPr>
          <w:p>
            <w:pPr>
              <w:pStyle w:val="null3"/>
            </w:pPr>
            <w:r>
              <w:rPr>
                <w:rFonts w:ascii="仿宋_GB2312" w:hAnsi="仿宋_GB2312" w:cs="仿宋_GB2312" w:eastAsia="仿宋_GB2312"/>
              </w:rPr>
              <w:t>评审内容： 供应商具有满足调查需求的数据处理平台，平台具备调查表填写上报、审核验收、查询汇总等调查统计功能的得5分；平台功能不全得2分，无平台不得分。 注： 提供平台功能说明或截图。</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②评估服务响应时间保障措施； ③评估服务工作资料保障措施。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①质量目标管理制度：每完全满足一个评审标准得1分，满分3分； ②评估服务响应时间保障措施：每完全满足一个评审标准得1分，满分3分； ③评估服务工作资料保障措施：每完全满足一个评审标准得1分，满分3分；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重点难点综合报告分析</w:t>
            </w:r>
          </w:p>
        </w:tc>
        <w:tc>
          <w:tcPr>
            <w:tcW w:type="dxa" w:w="2492"/>
          </w:tcPr>
          <w:p>
            <w:pPr>
              <w:pStyle w:val="null3"/>
            </w:pPr>
            <w:r>
              <w:rPr>
                <w:rFonts w:ascii="仿宋_GB2312" w:hAnsi="仿宋_GB2312" w:cs="仿宋_GB2312" w:eastAsia="仿宋_GB2312"/>
              </w:rPr>
              <w:t>1、评审内容 提供针对本项目的重点难点问题发现、分析及应对措施。 2、评审标准 ①完整性：须全面，对评审内容中的各项要求有详细描述及说明； ②可实施性：切合本项目实际情况，实施步骤清晰、合理； ③针对性：能够紧扣项目实际情况，内容科学合理。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后续保障服务承诺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①后续服务质量承诺； ②后续保障服务质量保证措施。 2、评审标准 ①完整性：须全面，对评审内容中的各项要求有详细描述及说明； ②可实施性：切合本项目实际情况，步骤清晰、合理，操作性强； ③针对性：能够紧扣项目实际情况，内容科学合理。 3、赋分标准 ①后续服务质量承诺：每满足一项评审标准得1.5分，满分4.5分； ②后续保障服务质量保证措施：每满足一项评审标准得1.5分，满分4.5分。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