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版本号：ZCSP-渭南市-2025-0050820250625001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渭南市文旅应急指挥分中心建设项目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ZCSP-渭南市-2025-00508</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渭南市文旅应急指挥分中心建设项目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渭南市文旅应急指挥分中心建设项目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为更直观便捷地掌握各区县文化和旅游及文物安全运行实时情况，全面分析市场动态和发展趋势，为开展监管调度、应急指挥提供有效手段。现开展我市文旅应急指挥数字化智能化建设。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2、磋商保证金交纳凭证：磋商保证金转账凭证或担保机构出具的保函；（保证金交纳凭证复印件加盖公章）</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按国家现行行业验收规范“合格”标准及“服务项目采购需求标准和要求”。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地址：详见竞争性磋商公告</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为更直观便捷地掌握各区县文化和旅游及文物安全运行实时情况，全面分析市场动态和发展趋势，为开展监管调度、应急指挥提供有效手段。现开展我市文旅应急指挥数字化智能化建设。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渭南市文旅应急指挥分中心建设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标的名称：渭南市文旅应急指挥分中心建设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rPr>
              <w:t>室内沉浸式展示系统服务</w:t>
            </w:r>
          </w:p>
          <w:p>
            <w:pPr>
              <w:pStyle w:val="null3"/>
            </w:pPr>
            <w:r>
              <w:rPr>
                <w:rFonts w:ascii="仿宋_GB2312" w:hAnsi="仿宋_GB2312" w:cs="仿宋_GB2312" w:eastAsia="仿宋_GB2312"/>
              </w:rPr>
              <w:t>1、具有播放5面沉浸式视频的功能。沉浸式视频播放效果需满足以下要求：</w:t>
            </w:r>
          </w:p>
          <w:p>
            <w:pPr>
              <w:pStyle w:val="null3"/>
            </w:pPr>
            <w:r>
              <w:rPr>
                <w:rFonts w:ascii="仿宋_GB2312" w:hAnsi="仿宋_GB2312" w:cs="仿宋_GB2312" w:eastAsia="仿宋_GB2312"/>
              </w:rPr>
              <w:t>正面效果：宽6.72米*高2.75米=18.48㎡；顶面效果：宽6.72米*高2.75米=18.48㎡；地面效果：宽6.72米*高1.92米=12.9㎡；左面效果：宽1.92米*高2.75米=5.28㎡；右面效果：宽1.92米*高2.75米=5.28㎡；合计需提供60.42㎡的展示服务。</w:t>
            </w:r>
          </w:p>
          <w:p>
            <w:pPr>
              <w:pStyle w:val="null3"/>
            </w:pPr>
            <w:r>
              <w:rPr>
                <w:rFonts w:ascii="仿宋_GB2312" w:hAnsi="仿宋_GB2312" w:cs="仿宋_GB2312" w:eastAsia="仿宋_GB2312"/>
              </w:rPr>
              <w:t>2、该项播放服务效果需满足小间距的需求（点间距不超过1.25mm）：</w:t>
            </w:r>
          </w:p>
          <w:p>
            <w:pPr>
              <w:pStyle w:val="null3"/>
            </w:pPr>
            <w:r>
              <w:rPr>
                <w:rFonts w:ascii="仿宋_GB2312" w:hAnsi="仿宋_GB2312" w:cs="仿宋_GB2312" w:eastAsia="仿宋_GB2312"/>
              </w:rPr>
              <w:t>3、支持高刷新功能，刷新率不低于3840 Hz  ；</w:t>
            </w:r>
          </w:p>
          <w:p>
            <w:pPr>
              <w:pStyle w:val="null3"/>
            </w:pPr>
            <w:r>
              <w:rPr>
                <w:rFonts w:ascii="仿宋_GB2312" w:hAnsi="仿宋_GB2312" w:cs="仿宋_GB2312" w:eastAsia="仿宋_GB2312"/>
              </w:rPr>
              <w:t>4、支持色温可调功能,可调范围:3000-10000K；满足峰值亮度不小于600cd/㎡</w:t>
            </w:r>
          </w:p>
          <w:p>
            <w:pPr>
              <w:pStyle w:val="null3"/>
            </w:pPr>
            <w:r>
              <w:rPr>
                <w:rFonts w:ascii="仿宋_GB2312" w:hAnsi="仿宋_GB2312" w:cs="仿宋_GB2312" w:eastAsia="仿宋_GB2312"/>
              </w:rPr>
              <w:t>5、支持通过 Web 浏览器查看沉浸式展示服务系统的概览信息和连线状态;支持查看行列网格展示屏幕接收卡规模，可展示网线连线顺序、网口号、工作状态。；</w:t>
            </w:r>
          </w:p>
          <w:p>
            <w:pPr>
              <w:pStyle w:val="null3"/>
            </w:pPr>
            <w:r>
              <w:rPr>
                <w:rFonts w:ascii="仿宋_GB2312" w:hAnsi="仿宋_GB2312" w:cs="仿宋_GB2312" w:eastAsia="仿宋_GB2312"/>
              </w:rPr>
              <w:t>6、支持信源接入状态显示,满足信源切换的功能。</w:t>
            </w:r>
          </w:p>
          <w:p>
            <w:pPr>
              <w:pStyle w:val="null3"/>
            </w:pPr>
            <w:r>
              <w:rPr>
                <w:rFonts w:ascii="仿宋_GB2312" w:hAnsi="仿宋_GB2312" w:cs="仿宋_GB2312" w:eastAsia="仿宋_GB2312"/>
              </w:rPr>
              <w:t>7、支持远程操控并配套远程操控平台，运行内存不小于12GB、存储容量不小于256GB、不小于12.2英寸的显示画面、不小于2800*1840的分辨率</w:t>
            </w:r>
          </w:p>
          <w:p>
            <w:pPr>
              <w:pStyle w:val="null3"/>
            </w:pPr>
            <w:r>
              <w:rPr>
                <w:rFonts w:ascii="仿宋_GB2312" w:hAnsi="仿宋_GB2312" w:cs="仿宋_GB2312" w:eastAsia="仿宋_GB2312"/>
              </w:rPr>
              <w:t>8、提供满足室内沉浸式展示平台正常使用所需的发送卡；支持多发送卡通过网络进行级联管理和统一控制；支持屏保和开机logo配置；支持屏幕除湿配置；支持3840 Hz 高刷新率输出；支持通过控制网口链接多功能卡 实现环境温度检测、环境湿度检测、人体温度传感配合屏幕控制等功能。</w:t>
            </w:r>
          </w:p>
          <w:p>
            <w:pPr>
              <w:pStyle w:val="null3"/>
            </w:pPr>
            <w:r>
              <w:rPr>
                <w:rFonts w:ascii="仿宋_GB2312" w:hAnsi="仿宋_GB2312" w:cs="仿宋_GB2312" w:eastAsia="仿宋_GB2312"/>
              </w:rPr>
              <w:t>9、提供满足室内沉浸式展示平台正常使用所需的播控服务器；需满足显存需不小于12GB。整屏渲染分辨率在8192Px以内、CPU主频不低于3.5GHz、存储空间不低于512GB、内存容量为32GB（2*16GB)。输出显卡规格需配置不低于NVIDIA RTX A2000的专业显卡；控制显卡规格需配置不低于Intel UHD P750（拓展模式）</w:t>
            </w:r>
          </w:p>
          <w:p>
            <w:pPr>
              <w:pStyle w:val="null3"/>
            </w:pPr>
            <w:r>
              <w:rPr>
                <w:rFonts w:ascii="仿宋_GB2312" w:hAnsi="仿宋_GB2312" w:cs="仿宋_GB2312" w:eastAsia="仿宋_GB2312"/>
              </w:rPr>
              <w:t>10、提供满足室内沉浸式展示平台正常使用所需的拼接控制器；支持插入4张输入板卡或4张输出板卡，支持16路2K输入，支持16路2K输出；支持热备功能，支持单机输入热备、单机输出热备、单机输入输出热备、双机热备，其中双机热备不需外接同步盒即可完成输出接口画面同步；需支持底图功能，可接入3个电视墙，每个电视墙可设置1张底图；支持接入自定义分辨率视频图像。</w:t>
            </w:r>
          </w:p>
          <w:p>
            <w:pPr>
              <w:pStyle w:val="null3"/>
            </w:pPr>
            <w:r>
              <w:rPr>
                <w:rFonts w:ascii="仿宋_GB2312" w:hAnsi="仿宋_GB2312" w:cs="仿宋_GB2312" w:eastAsia="仿宋_GB2312"/>
              </w:rPr>
              <w:t>4、支持色温可调功能,可调范围:3000-10000K；满足峰值亮度不小于600cd/㎡</w:t>
            </w:r>
          </w:p>
          <w:p>
            <w:pPr>
              <w:pStyle w:val="null3"/>
            </w:pPr>
            <w:r>
              <w:rPr>
                <w:rFonts w:ascii="仿宋_GB2312" w:hAnsi="仿宋_GB2312" w:cs="仿宋_GB2312" w:eastAsia="仿宋_GB2312"/>
              </w:rPr>
              <w:t>5、支持通过 Web 浏览器查看沉浸式展示服务系统的概览信息和连线状态;支持查看行列网格展示屏幕接收卡规模，可展示网线连线顺序、网口号、工作状态。；</w:t>
            </w:r>
          </w:p>
          <w:p>
            <w:pPr>
              <w:pStyle w:val="null3"/>
            </w:pPr>
            <w:r>
              <w:rPr>
                <w:rFonts w:ascii="仿宋_GB2312" w:hAnsi="仿宋_GB2312" w:cs="仿宋_GB2312" w:eastAsia="仿宋_GB2312"/>
              </w:rPr>
              <w:t>6、支持信源接入状态显示,满足信源切换的功能。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65"/>
            </w:pPr>
            <w:r>
              <w:rPr>
                <w:rFonts w:ascii="仿宋_GB2312" w:hAnsi="仿宋_GB2312" w:cs="仿宋_GB2312" w:eastAsia="仿宋_GB2312"/>
              </w:rPr>
              <w:t>屏体钢结构及安装、平台安装及调试服务</w:t>
            </w:r>
          </w:p>
          <w:p>
            <w:pPr>
              <w:pStyle w:val="null3"/>
            </w:pPr>
            <w:r>
              <w:rPr>
                <w:rFonts w:ascii="仿宋_GB2312" w:hAnsi="仿宋_GB2312" w:cs="仿宋_GB2312" w:eastAsia="仿宋_GB2312"/>
              </w:rPr>
              <w:t>1、根据设计图进行施工；实际施工面积不小于65.12㎡。</w:t>
            </w:r>
            <w:r>
              <w:br/>
            </w:r>
            <w:r>
              <w:rPr>
                <w:rFonts w:ascii="仿宋_GB2312" w:hAnsi="仿宋_GB2312" w:cs="仿宋_GB2312" w:eastAsia="仿宋_GB2312"/>
              </w:rPr>
              <w:t xml:space="preserve"> 2、支持定制不锈钢钛金包边且不锈钢厚度不小于1.0mm，颜色也可根据要求定制；</w:t>
            </w:r>
            <w:r>
              <w:br/>
            </w:r>
            <w:r>
              <w:rPr>
                <w:rFonts w:ascii="仿宋_GB2312" w:hAnsi="仿宋_GB2312" w:cs="仿宋_GB2312" w:eastAsia="仿宋_GB2312"/>
              </w:rPr>
              <w:t xml:space="preserve"> 3、采用单元化安装结构，屏体安装采用定制结构框架，边框尺寸约5-10公分，与原装修融为一体，整屏与屏体框架采用无焊接拼装，屏体支撑架采用Q235B 国际镀锌材质制作。</w:t>
            </w:r>
          </w:p>
          <w:p>
            <w:pPr>
              <w:pStyle w:val="null3"/>
            </w:pPr>
            <w:r>
              <w:rPr>
                <w:rFonts w:ascii="仿宋_GB2312" w:hAnsi="仿宋_GB2312" w:cs="仿宋_GB2312" w:eastAsia="仿宋_GB2312"/>
              </w:rPr>
              <w:t>4.平台配套需要辅材及相应施工、安装调试等</w:t>
            </w:r>
          </w:p>
          <w:p>
            <w:pPr>
              <w:pStyle w:val="null3"/>
              <w:spacing w:after="165"/>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65"/>
            </w:pPr>
            <w:r>
              <w:rPr>
                <w:rFonts w:ascii="仿宋_GB2312" w:hAnsi="仿宋_GB2312" w:cs="仿宋_GB2312" w:eastAsia="仿宋_GB2312"/>
              </w:rPr>
              <w:t>音频系统服务</w:t>
            </w:r>
          </w:p>
          <w:p>
            <w:pPr>
              <w:pStyle w:val="null3"/>
            </w:pPr>
            <w:r>
              <w:rPr>
                <w:rFonts w:ascii="仿宋_GB2312" w:hAnsi="仿宋_GB2312" w:cs="仿宋_GB2312" w:eastAsia="仿宋_GB2312"/>
              </w:rPr>
              <w:t>需提供一套完整的可以配套室内沉浸式展示平台使用的音频系统</w:t>
            </w:r>
          </w:p>
          <w:p>
            <w:pPr>
              <w:pStyle w:val="null3"/>
            </w:pPr>
            <w:r>
              <w:rPr>
                <w:rFonts w:ascii="仿宋_GB2312" w:hAnsi="仿宋_GB2312" w:cs="仿宋_GB2312" w:eastAsia="仿宋_GB2312"/>
              </w:rPr>
              <w:t>1、8寸带分频低频悬挂扬声器  2 套；形式为150Watt直接辐射悬吊式低频扬声器，带有无源分频，200mm(8in)长冲程驱动.，8ohm(150Watt)和70V/100V(100Watt)模式。</w:t>
            </w:r>
          </w:p>
          <w:p>
            <w:pPr>
              <w:pStyle w:val="null3"/>
            </w:pPr>
            <w:r>
              <w:rPr>
                <w:rFonts w:ascii="仿宋_GB2312" w:hAnsi="仿宋_GB2312" w:cs="仿宋_GB2312" w:eastAsia="仿宋_GB2312"/>
              </w:rPr>
              <w:t>2、8寸壁挂三分频扬声器 2 套；需满足功率(RMS/峰值): 40/160W、满足8' (203mm) Poly低音扬声器、满足0.5' (13mm) Polymer高音扬声器。</w:t>
            </w:r>
          </w:p>
          <w:p>
            <w:pPr>
              <w:pStyle w:val="null3"/>
            </w:pPr>
            <w:r>
              <w:rPr>
                <w:rFonts w:ascii="仿宋_GB2312" w:hAnsi="仿宋_GB2312" w:cs="仿宋_GB2312" w:eastAsia="仿宋_GB2312"/>
              </w:rPr>
              <w:t>3、一拖二手持话筒 1 套；支持面板显示功能： LCD液晶显示可同时显示RF/AF信号强度、工作频率；支持震荡模式： DPLL相位锁定频率合成；支持可切换频率数： 33组/每个信道</w:t>
            </w:r>
          </w:p>
          <w:p>
            <w:pPr>
              <w:pStyle w:val="null3"/>
            </w:pPr>
            <w:r>
              <w:rPr>
                <w:rFonts w:ascii="仿宋_GB2312" w:hAnsi="仿宋_GB2312" w:cs="仿宋_GB2312" w:eastAsia="仿宋_GB2312"/>
              </w:rPr>
              <w:t>4、一拖二领夹话筒1 套；支持面板显示功能： LCD液晶显示可同时显示RF/AF信号强度、工作频率；支持震荡模式： DPLL相位锁定频率合成；支持可切换频率数： 33组/每个信道</w:t>
            </w:r>
          </w:p>
          <w:p>
            <w:pPr>
              <w:pStyle w:val="null3"/>
            </w:pPr>
            <w:r>
              <w:rPr>
                <w:rFonts w:ascii="仿宋_GB2312" w:hAnsi="仿宋_GB2312" w:cs="仿宋_GB2312" w:eastAsia="仿宋_GB2312"/>
              </w:rPr>
              <w:t>5、配套所需的源解码器、功率放大器及8路电源时序器各一套。</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65"/>
            </w:pPr>
            <w:r>
              <w:rPr>
                <w:rFonts w:ascii="仿宋_GB2312" w:hAnsi="仿宋_GB2312" w:cs="仿宋_GB2312" w:eastAsia="仿宋_GB2312"/>
              </w:rPr>
              <w:t>基础环境改造服务</w:t>
            </w:r>
          </w:p>
          <w:p>
            <w:pPr>
              <w:pStyle w:val="null3"/>
            </w:pPr>
            <w:r>
              <w:rPr>
                <w:rFonts w:ascii="仿宋_GB2312" w:hAnsi="仿宋_GB2312" w:cs="仿宋_GB2312" w:eastAsia="仿宋_GB2312"/>
              </w:rPr>
              <w:t>1、拆除原有吊顶、隔断、原有包饰墙面拆除；</w:t>
            </w:r>
          </w:p>
          <w:p>
            <w:pPr>
              <w:pStyle w:val="null3"/>
            </w:pPr>
            <w:r>
              <w:rPr>
                <w:rFonts w:ascii="仿宋_GB2312" w:hAnsi="仿宋_GB2312" w:cs="仿宋_GB2312" w:eastAsia="仿宋_GB2312"/>
              </w:rPr>
              <w:t>2、格栅吊顶、室内灯光、地面、墙面装修、满足展厅使的用强、弱电；</w:t>
            </w:r>
          </w:p>
          <w:p>
            <w:pPr>
              <w:pStyle w:val="null3"/>
            </w:pPr>
            <w:r>
              <w:rPr>
                <w:rFonts w:ascii="仿宋_GB2312" w:hAnsi="仿宋_GB2312" w:cs="仿宋_GB2312" w:eastAsia="仿宋_GB2312"/>
              </w:rPr>
              <w:t>3、材料搬运、垃圾清运；</w:t>
            </w:r>
          </w:p>
          <w:p>
            <w:pPr>
              <w:pStyle w:val="null3"/>
            </w:pPr>
            <w:r>
              <w:rPr>
                <w:rFonts w:ascii="仿宋_GB2312" w:hAnsi="仿宋_GB2312" w:cs="仿宋_GB2312" w:eastAsia="仿宋_GB2312"/>
              </w:rPr>
              <w:t>4、现场所需线材（高清线、主网线、配套电源线）、配电柜、机柜、网络机柜、配套材料、管材辅材、布线辅材等；</w:t>
            </w:r>
          </w:p>
          <w:p>
            <w:pPr>
              <w:pStyle w:val="null3"/>
              <w:spacing w:after="165"/>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after="165"/>
            </w:pPr>
            <w:r>
              <w:rPr>
                <w:rFonts w:ascii="仿宋_GB2312" w:hAnsi="仿宋_GB2312" w:cs="仿宋_GB2312" w:eastAsia="仿宋_GB2312"/>
              </w:rPr>
              <w:t>数据专线</w:t>
            </w:r>
          </w:p>
          <w:p>
            <w:pPr>
              <w:pStyle w:val="null3"/>
            </w:pPr>
            <w:r>
              <w:rPr>
                <w:rFonts w:ascii="仿宋_GB2312" w:hAnsi="仿宋_GB2312" w:cs="仿宋_GB2312" w:eastAsia="仿宋_GB2312"/>
              </w:rPr>
              <w:t>1.需提供不低于50M的互联网专线</w:t>
            </w:r>
          </w:p>
          <w:p>
            <w:pPr>
              <w:pStyle w:val="null3"/>
            </w:pPr>
            <w:r>
              <w:rPr>
                <w:rFonts w:ascii="仿宋_GB2312" w:hAnsi="仿宋_GB2312" w:cs="仿宋_GB2312" w:eastAsia="仿宋_GB2312"/>
              </w:rPr>
              <w:t>2.提供静态路由、策略路由，以及RIP、OSPF、BGP、ISIS等动态路由协议（非透传）并提供BFD功能，BFD能与静态路由/OSPF/BGP等进行联动。快速检测到与相邻设备间的通信故障，减小设备故障对业务的影响。通过与动态路由协议联动，缩短收敛时间，提升可靠性。</w:t>
            </w:r>
          </w:p>
          <w:p>
            <w:pPr>
              <w:pStyle w:val="null3"/>
            </w:pPr>
            <w:r>
              <w:rPr>
                <w:rFonts w:ascii="仿宋_GB2312" w:hAnsi="仿宋_GB2312" w:cs="仿宋_GB2312" w:eastAsia="仿宋_GB2312"/>
              </w:rPr>
              <w:t>3.所提供的安全策略支持基于安全域、IP地址、域名、国家/地区、服务、应用、VLAN的安全策略。</w:t>
            </w:r>
          </w:p>
          <w:p>
            <w:pPr>
              <w:pStyle w:val="null3"/>
            </w:pPr>
            <w:r>
              <w:rPr>
                <w:rFonts w:ascii="仿宋_GB2312" w:hAnsi="仿宋_GB2312" w:cs="仿宋_GB2312" w:eastAsia="仿宋_GB2312"/>
              </w:rPr>
              <w:t>4.防火墙可自动周期性通过FTP、TFTP、HTTP、HTTPS等协议获取IP黑名单文件并进行增量导入或覆盖式导入。</w:t>
            </w:r>
          </w:p>
          <w:p>
            <w:pPr>
              <w:pStyle w:val="null3"/>
            </w:pPr>
            <w:r>
              <w:rPr>
                <w:rFonts w:ascii="仿宋_GB2312" w:hAnsi="仿宋_GB2312" w:cs="仿宋_GB2312" w:eastAsia="仿宋_GB2312"/>
              </w:rPr>
              <w:t>5.安全策略的服务元素支持直接配置端口和协议，无需单独定义服务对象</w:t>
            </w:r>
          </w:p>
          <w:p>
            <w:pPr>
              <w:pStyle w:val="null3"/>
            </w:pPr>
            <w:r>
              <w:rPr>
                <w:rFonts w:ascii="仿宋_GB2312" w:hAnsi="仿宋_GB2312" w:cs="仿宋_GB2312" w:eastAsia="仿宋_GB2312"/>
              </w:rPr>
              <w:t>6.可根据穿越防火墙流量，自动生成五元组及服务等信息，形成相应策略条目；并可以根据需要进行策略聚合，将多条策略自动聚合成一条策略。</w:t>
            </w:r>
          </w:p>
          <w:p>
            <w:pPr>
              <w:pStyle w:val="null3"/>
            </w:pPr>
            <w:r>
              <w:rPr>
                <w:rFonts w:ascii="仿宋_GB2312" w:hAnsi="仿宋_GB2312" w:cs="仿宋_GB2312" w:eastAsia="仿宋_GB2312"/>
              </w:rPr>
              <w:t>7.支持对安全策略的首次命中时间、最近一次命中时间、最近未命中天数进行统计。</w:t>
            </w:r>
          </w:p>
          <w:p>
            <w:pPr>
              <w:pStyle w:val="null3"/>
            </w:pPr>
            <w:r>
              <w:rPr>
                <w:rFonts w:ascii="仿宋_GB2312" w:hAnsi="仿宋_GB2312" w:cs="仿宋_GB2312" w:eastAsia="仿宋_GB2312"/>
              </w:rPr>
              <w:t>8.流控功能支持对多层级管道进行最大带宽限制、最小带宽保证、每IP或每用户的最大带宽限制和最小带宽保证，支持两层八级管道嵌套。</w:t>
            </w:r>
          </w:p>
          <w:p>
            <w:pPr>
              <w:pStyle w:val="null3"/>
            </w:pPr>
            <w:r>
              <w:rPr>
                <w:rFonts w:ascii="仿宋_GB2312" w:hAnsi="仿宋_GB2312" w:cs="仿宋_GB2312" w:eastAsia="仿宋_GB2312"/>
              </w:rPr>
              <w:t>9.支持数据包路径监测功能，可模拟数据包穿越设备，对设备的各个功能模块进行有效性检测，兼容并通过图形化以及文字描述的方式将检测过程及检测结果呈现，进行故障定位。可检测的数据包来源包含模拟数据包、实时在线数据包，支持对检测结果以报告的形式导出，供管理员分析。</w:t>
            </w:r>
          </w:p>
          <w:p>
            <w:pPr>
              <w:pStyle w:val="null3"/>
            </w:pPr>
            <w:r>
              <w:rPr>
                <w:rFonts w:ascii="仿宋_GB2312" w:hAnsi="仿宋_GB2312" w:cs="仿宋_GB2312" w:eastAsia="仿宋_GB2312"/>
              </w:rPr>
              <w:t>10.支持SNAT、DNAT规则的冗余分析功能（提供产品有效配置截图)</w:t>
            </w:r>
          </w:p>
          <w:p>
            <w:pPr>
              <w:pStyle w:val="null3"/>
            </w:pPr>
            <w:r>
              <w:rPr>
                <w:rFonts w:ascii="仿宋_GB2312" w:hAnsi="仿宋_GB2312" w:cs="仿宋_GB2312" w:eastAsia="仿宋_GB2312"/>
              </w:rPr>
              <w:t>11.产品必须支持全功能CLI（SSH、TELNET、CONSOLE等方式）命令配置，以方便快速进行脚本操作和故障调试，且CLI配置必须支持中文输入</w:t>
            </w:r>
          </w:p>
          <w:p>
            <w:pPr>
              <w:pStyle w:val="null3"/>
            </w:pPr>
            <w:r>
              <w:rPr>
                <w:rFonts w:ascii="仿宋_GB2312" w:hAnsi="仿宋_GB2312" w:cs="仿宋_GB2312" w:eastAsia="仿宋_GB2312"/>
              </w:rPr>
              <w:t>12.操作界面支持中英文切换，支持不少于2个系统软件并存，避免单一操作系统故障影响业务，支持不少于10个配置文件并存，便于快速恢复不同阶段的设备配置。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after="165"/>
            </w:pPr>
            <w:r>
              <w:rPr>
                <w:rFonts w:ascii="仿宋_GB2312" w:hAnsi="仿宋_GB2312" w:cs="仿宋_GB2312" w:eastAsia="仿宋_GB2312"/>
              </w:rPr>
              <w:t>接入现有的调度指挥系统</w:t>
            </w:r>
          </w:p>
          <w:p>
            <w:pPr>
              <w:pStyle w:val="null3"/>
            </w:pPr>
            <w:r>
              <w:rPr>
                <w:rFonts w:ascii="仿宋_GB2312" w:hAnsi="仿宋_GB2312" w:cs="仿宋_GB2312" w:eastAsia="仿宋_GB2312"/>
              </w:rPr>
              <w:t>包含视频采集及一套控制软件</w:t>
            </w:r>
          </w:p>
          <w:p>
            <w:pPr>
              <w:pStyle w:val="null3"/>
            </w:pPr>
            <w:r>
              <w:rPr>
                <w:rFonts w:ascii="仿宋_GB2312" w:hAnsi="仿宋_GB2312" w:cs="仿宋_GB2312" w:eastAsia="仿宋_GB2312"/>
              </w:rPr>
              <w:t>1、提供接入、配置服务，实现与文旅局现有会议系统互通互联。</w:t>
            </w:r>
            <w:r>
              <w:br/>
            </w:r>
            <w:r>
              <w:rPr>
                <w:rFonts w:ascii="仿宋_GB2312" w:hAnsi="仿宋_GB2312" w:cs="仿宋_GB2312" w:eastAsia="仿宋_GB2312"/>
              </w:rPr>
              <w:t xml:space="preserve"> 2、配套视频采集系统，支持1080P 50/60fps视频输出以及不小于12倍的光学变焦、支持红外透传功能，实现终端遥控器通过摄像机控制机房内会议终端，方便调试、支持不少于2个RS-232控制接口，支持标准VISCA控制协议</w:t>
            </w:r>
          </w:p>
          <w:p>
            <w:pPr>
              <w:pStyle w:val="null3"/>
            </w:pPr>
            <w:r>
              <w:rPr>
                <w:rFonts w:ascii="仿宋_GB2312" w:hAnsi="仿宋_GB2312" w:cs="仿宋_GB2312" w:eastAsia="仿宋_GB2312"/>
              </w:rPr>
              <w:t>3、需提供1路H.264HP 1080P30并发端口License)</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1、服务项目概况：为更直观便捷地掌握各区县文化和旅游及文物安全运行实时情况，全面分析市场动态和发展趋势，为开展监管调度、应急指挥提供有效手段。现开展我市文旅应急指挥数字化智能化建设。</w:t>
            </w:r>
          </w:p>
          <w:p>
            <w:pPr>
              <w:pStyle w:val="null3"/>
            </w:pPr>
            <w:r>
              <w:rPr>
                <w:rFonts w:ascii="仿宋_GB2312" w:hAnsi="仿宋_GB2312" w:cs="仿宋_GB2312" w:eastAsia="仿宋_GB2312"/>
              </w:rPr>
              <w:t>2、根据采购人及系统平台的性能需求，在搭建系统中，配备相关支撑软件、硬件及配件耗材，保证系统的正常使用。</w:t>
            </w:r>
          </w:p>
          <w:p>
            <w:pPr>
              <w:pStyle w:val="null3"/>
            </w:pPr>
            <w:r>
              <w:rPr>
                <w:rFonts w:ascii="仿宋_GB2312" w:hAnsi="仿宋_GB2312" w:cs="仿宋_GB2312" w:eastAsia="仿宋_GB2312"/>
              </w:rPr>
              <w:t>3、合同履行期限：60日历天。</w:t>
            </w:r>
          </w:p>
          <w:p>
            <w:pPr>
              <w:pStyle w:val="null3"/>
            </w:pPr>
            <w:r>
              <w:rPr>
                <w:rFonts w:ascii="仿宋_GB2312" w:hAnsi="仿宋_GB2312" w:cs="仿宋_GB2312" w:eastAsia="仿宋_GB2312"/>
              </w:rPr>
              <w:t>4、系统运维期：自验收合格之日起一年</w:t>
            </w:r>
          </w:p>
          <w:p>
            <w:pPr>
              <w:pStyle w:val="null3"/>
            </w:pPr>
            <w:r>
              <w:rPr>
                <w:rFonts w:ascii="仿宋_GB2312" w:hAnsi="仿宋_GB2312" w:cs="仿宋_GB2312" w:eastAsia="仿宋_GB2312"/>
              </w:rPr>
              <w:t>5、服务地点：渭南市临渭区</w:t>
            </w:r>
          </w:p>
          <w:p>
            <w:pPr>
              <w:pStyle w:val="null3"/>
            </w:pPr>
            <w:r>
              <w:rPr>
                <w:rFonts w:ascii="仿宋_GB2312" w:hAnsi="仿宋_GB2312" w:cs="仿宋_GB2312" w:eastAsia="仿宋_GB2312"/>
              </w:rPr>
              <w:t>6、是否专门面向中小企业采购：否，本项目非专门面向中小企业采购</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1、组织保障</w:t>
            </w:r>
          </w:p>
          <w:p>
            <w:pPr>
              <w:pStyle w:val="null3"/>
            </w:pPr>
            <w:r>
              <w:rPr>
                <w:rFonts w:ascii="仿宋_GB2312" w:hAnsi="仿宋_GB2312" w:cs="仿宋_GB2312" w:eastAsia="仿宋_GB2312"/>
              </w:rPr>
              <w:t>（1）中标单位中标后2个工作日内，向采购单位提供技术方案。</w:t>
            </w:r>
          </w:p>
          <w:p>
            <w:pPr>
              <w:pStyle w:val="null3"/>
            </w:pPr>
            <w:r>
              <w:rPr>
                <w:rFonts w:ascii="仿宋_GB2312" w:hAnsi="仿宋_GB2312" w:cs="仿宋_GB2312" w:eastAsia="仿宋_GB2312"/>
              </w:rPr>
              <w:t>（2）根据工作方案安排，中标单位中标后2个工作日内成立项目组织机构，机构各小组应职责明确、分工合理，任务安排到位。整个团队运作高效，对采购单位提出的工作要求，在不晚于3个工作日内作出积极正面响应。</w:t>
            </w:r>
          </w:p>
          <w:p>
            <w:pPr>
              <w:pStyle w:val="null3"/>
            </w:pPr>
            <w:r>
              <w:rPr>
                <w:rFonts w:ascii="仿宋_GB2312" w:hAnsi="仿宋_GB2312" w:cs="仿宋_GB2312" w:eastAsia="仿宋_GB2312"/>
              </w:rPr>
              <w:t>（3）保证项目提交资料的齐全性，完整性。</w:t>
            </w:r>
          </w:p>
          <w:p>
            <w:pPr>
              <w:pStyle w:val="null3"/>
            </w:pPr>
            <w:r>
              <w:rPr>
                <w:rFonts w:ascii="仿宋_GB2312" w:hAnsi="仿宋_GB2312" w:cs="仿宋_GB2312" w:eastAsia="仿宋_GB2312"/>
              </w:rPr>
              <w:t>2、项目团队保障</w:t>
            </w:r>
          </w:p>
          <w:p>
            <w:pPr>
              <w:pStyle w:val="null3"/>
            </w:pPr>
            <w:r>
              <w:rPr>
                <w:rFonts w:ascii="仿宋_GB2312" w:hAnsi="仿宋_GB2312" w:cs="仿宋_GB2312" w:eastAsia="仿宋_GB2312"/>
              </w:rPr>
              <w:t>项目负责人一名，具有类似项目统筹管理和领导经验，能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p>
          <w:p>
            <w:pPr>
              <w:pStyle w:val="null3"/>
            </w:pPr>
            <w:r>
              <w:rPr>
                <w:rFonts w:ascii="仿宋_GB2312" w:hAnsi="仿宋_GB2312" w:cs="仿宋_GB2312" w:eastAsia="仿宋_GB2312"/>
              </w:rPr>
              <w:t>3、项目实施要求</w:t>
            </w:r>
          </w:p>
          <w:p>
            <w:pPr>
              <w:pStyle w:val="null3"/>
            </w:pPr>
            <w:r>
              <w:rPr>
                <w:rFonts w:ascii="仿宋_GB2312" w:hAnsi="仿宋_GB2312" w:cs="仿宋_GB2312" w:eastAsia="仿宋_GB2312"/>
              </w:rPr>
              <w:t>（1）系统业务功能建设模块要求完整、设计合理、科学。</w:t>
            </w:r>
          </w:p>
          <w:p>
            <w:pPr>
              <w:pStyle w:val="null3"/>
            </w:pPr>
            <w:r>
              <w:rPr>
                <w:rFonts w:ascii="仿宋_GB2312" w:hAnsi="仿宋_GB2312" w:cs="仿宋_GB2312" w:eastAsia="仿宋_GB2312"/>
              </w:rPr>
              <w:t>（2）系统平台运维服务，中标人负责平台总体的日常检查、维护。</w:t>
            </w:r>
          </w:p>
          <w:p>
            <w:pPr>
              <w:pStyle w:val="null3"/>
            </w:pPr>
            <w:r>
              <w:rPr>
                <w:rFonts w:ascii="仿宋_GB2312" w:hAnsi="仿宋_GB2312" w:cs="仿宋_GB2312" w:eastAsia="仿宋_GB2312"/>
              </w:rPr>
              <w:t>（3）常规巡检要对问题及时发现、及时提交并处理。</w:t>
            </w:r>
          </w:p>
          <w:p>
            <w:pPr>
              <w:pStyle w:val="null3"/>
            </w:pPr>
            <w:r>
              <w:rPr>
                <w:rFonts w:ascii="仿宋_GB2312" w:hAnsi="仿宋_GB2312" w:cs="仿宋_GB2312" w:eastAsia="仿宋_GB2312"/>
              </w:rPr>
              <w:t>（4）中标人向采购人提供全方位的技术服务，在项目实施的各个阶段中，项目工程师提供7*24小时的电话服务支持，接到用户电话后，在2小时内响应，24小时以内解决问题，以保障用户的正常使用。</w:t>
            </w:r>
          </w:p>
          <w:p>
            <w:pPr>
              <w:pStyle w:val="null3"/>
            </w:pPr>
            <w:r>
              <w:rPr>
                <w:rFonts w:ascii="仿宋_GB2312" w:hAnsi="仿宋_GB2312" w:cs="仿宋_GB2312" w:eastAsia="仿宋_GB2312"/>
              </w:rPr>
              <w:t>（5）系统验收完成后，需要对本项目提供详细的系统使用培训服务，提供详尽的培训方案及培训计划，并列出培训的具体内容及方式，确保使用人员能够独立熟练操作、维护和正常使用。</w:t>
            </w:r>
          </w:p>
          <w:p>
            <w:pPr>
              <w:pStyle w:val="null3"/>
            </w:pPr>
            <w:r>
              <w:rPr>
                <w:rFonts w:ascii="仿宋_GB2312" w:hAnsi="仿宋_GB2312" w:cs="仿宋_GB2312" w:eastAsia="仿宋_GB2312"/>
              </w:rPr>
              <w:t>三、验收要求</w:t>
            </w:r>
          </w:p>
          <w:p>
            <w:pPr>
              <w:pStyle w:val="null3"/>
            </w:pPr>
            <w:r>
              <w:rPr>
                <w:rFonts w:ascii="仿宋_GB2312" w:hAnsi="仿宋_GB2312" w:cs="仿宋_GB2312" w:eastAsia="仿宋_GB2312"/>
              </w:rPr>
              <w:t>1.所提供系统服务的规格、数量符合采购文件投标人承诺及采购合同约定的要求。</w:t>
            </w:r>
          </w:p>
          <w:p>
            <w:pPr>
              <w:pStyle w:val="null3"/>
            </w:pPr>
            <w:r>
              <w:rPr>
                <w:rFonts w:ascii="仿宋_GB2312" w:hAnsi="仿宋_GB2312" w:cs="仿宋_GB2312" w:eastAsia="仿宋_GB2312"/>
              </w:rPr>
              <w:t>2.在运维期间内，项目中涉及的系统软件免费升级，需负责全部升级工作，以保证不影响系统的运行。不管是在保修期内还是保修期外，免费为采购人提供技术咨询服务，这其中包括：新技术咨询、配置调整、故障解决等。</w:t>
            </w:r>
          </w:p>
          <w:p>
            <w:pPr>
              <w:pStyle w:val="null3"/>
            </w:pPr>
            <w:r>
              <w:rPr>
                <w:rFonts w:ascii="仿宋_GB2312" w:hAnsi="仿宋_GB2312" w:cs="仿宋_GB2312" w:eastAsia="仿宋_GB2312"/>
              </w:rPr>
              <w:t>3.本项目由采购人及相关部门对项目进行验收。</w:t>
            </w:r>
          </w:p>
          <w:p>
            <w:pPr>
              <w:pStyle w:val="null3"/>
            </w:pPr>
            <w:r>
              <w:rPr>
                <w:rFonts w:ascii="仿宋_GB2312" w:hAnsi="仿宋_GB2312" w:cs="仿宋_GB2312" w:eastAsia="仿宋_GB2312"/>
              </w:rPr>
              <w:t>4.投标人承诺及采购合同约定的附件、工具、技术资料等齐全；提供安全工具的使用说明书、合格证等。</w:t>
            </w:r>
          </w:p>
          <w:p>
            <w:pPr>
              <w:pStyle w:val="null3"/>
            </w:pPr>
            <w:r>
              <w:rPr>
                <w:rFonts w:ascii="仿宋_GB2312" w:hAnsi="仿宋_GB2312" w:cs="仿宋_GB2312" w:eastAsia="仿宋_GB2312"/>
              </w:rPr>
              <w:t>5.验收标准：按磋商文件、响应文件、项目交付情况等综合指标进行验收。各项指标均应符合验收标准及要求。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服务期：60日历天；系统运维期：自验收合格之日起一年。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按国家现行行业验收规范“合格”标准及“服务项目采购需求标准和要求”。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本项目合同签订后，支付合同总金额的40%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供应商完成全部服务内容后，采购人支付至合同总金额的30%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项目验收合格且正常运行后付清剩余合同价款。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供应商原因造成工期延误（自然灾害等不可抗力除外），采购人有权从未付款项中按每日3‰合同价款扣除违约金，此违约以30日为限；若采购人未按约定时间付款，则供应商有权按每日3‰合同价款收取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响应文件（经编标工具生成的文件直接打印并加盖公章），递交的纸质版文件内容确保与线上电子文件保持一致，不允许修改和补充。2、成交供应商应在磋商会议结束后3日内向采购人提交最终版《分项报价表》，供应商最终版《分项报价表》中的总报价应与最终磋商总报价保持一致。3、根据《政府采购法实施条例》释义，银行、保险、石油石化、电力、电信等有行业特殊情况的，允许法人的分支机构参加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供应商应具有独立承担民事责任的能力且具备向采购人提供相关服务能力的企业法人、事业法人、其他组织或者自然人；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磋商保证金转账凭证或担保机构出具的保函；（保证金交纳凭证复印件加盖公章）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3.磋商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评审得分相同的，按照最后报价由低到高的顺序推荐。评审得分且最后报价相同的，按照技术指标优劣顺序推荐。评审得分且最后报价且技术指标得分均相同的，由磋商小组成员无记名投票选出。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投标人针对本项目制定的总体方案，包含①项目需求理解；②各业务模块系统建设分析；③系统保障部署方案；④进度计划及组织保障措施。 评审标准： 1.完整性：实施方案须全面，思路清晰、分析透彻，内容完整、方案科学、合理； 2.可实施性；切合本项目实际情况，步骤明确、可操作性强； 3.针对性：总体方案能够紧扣项目实际情况，专业性强、内容科学、合理。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系统保障措施</w:t>
            </w:r>
          </w:p>
        </w:tc>
        <w:tc>
          <w:tcPr>
            <w:tcW w:type="dxa" w:w="2492"/>
          </w:tcPr>
          <w:p>
            <w:pPr>
              <w:pStyle w:val="null3"/>
            </w:pPr>
            <w:r>
              <w:rPr>
                <w:rFonts w:ascii="仿宋_GB2312" w:hAnsi="仿宋_GB2312" w:cs="仿宋_GB2312" w:eastAsia="仿宋_GB2312"/>
              </w:rPr>
              <w:t>评审内容： 供应商针对本项目制定的应急指挥系统保障措施，包含①系统架构的先进性保障措施；②系统平台功能层次清楚，结构合理保障措施；③系统安全性保障措施；④系统可扩展性保障措施。 评审标准： 1.完整性：保障措施须全面，完整、科学、合理； 2.可实施性；切合本项目实际情况，步骤明确、可操作性强； 3.针对性：保障措施能够紧扣项目实际情况，专业性强、内容科学、合理。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产品技术响应</w:t>
            </w:r>
          </w:p>
        </w:tc>
        <w:tc>
          <w:tcPr>
            <w:tcW w:type="dxa" w:w="2492"/>
          </w:tcPr>
          <w:p>
            <w:pPr>
              <w:pStyle w:val="null3"/>
            </w:pPr>
            <w:r>
              <w:rPr>
                <w:rFonts w:ascii="仿宋_GB2312" w:hAnsi="仿宋_GB2312" w:cs="仿宋_GB2312" w:eastAsia="仿宋_GB2312"/>
              </w:rPr>
              <w:t>评审内容： 所投产品的技术参数及性能，投标人应提供充足的佐证材料（佐证材料包括但不限于检测报告、官网和功能截图、彩页、说明书等相关资料） 评审标准： 产品技术规格、型号满足采购文件要求，选型科学、产品附件齐全，无缺漏项，佐证材料详细、完整。 赋分标准（满分5分）： 根据提供的佐证材料，投标产品参数及性能完全满足采购文件要求，无负偏离得5分；每负偏离一项扣0.5分，扣完为止。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评审内容： 运维方案包含①系统定期升级、优化方案；②系统定期维护方案；③运维服务人员安排④运维期间的针对突发事件的应急措施。 评审标准： 1.完整性：方案须全面，完整、科学、合理； 2.可实施性；切合本项目实际情况，步骤明确、可操作性强； 3.针对性：运维方案能够紧扣项目实际情况，专业性强、内容科学、合理。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质量保证措施包含①服务质量保障体系；②系统安装、调试质量保证措施；③确保系统使用可靠、稳定的质量保障措施。 评审标准： 1.完整性：措施须全面，完整、科学、合理； 2.可实施性；切合本项目实际情况，步骤明确、可操作性强； 3.针对性：能够紧扣项目实际情况，专业性强、内容科学、合理。 赋分标准（满分9分）：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售后服务包含：①售后服务机构情况及内容；②售后服务人员安排；③售后服务响应时间与处理时间。 评审标准： 1.完整性：方案须全面，完整、科学、合理； 2.可实施性；切合本项目实际情况，步骤明确、可操作性强； 3.针对性：能够紧扣项目实际情况，专业性强、内容科学、合理。 赋分标准（满分6分）： ①每一项评审内容完全满足评审标准得2分； ②每一项评审内容若存在方案不明确、不合理、不完整、针对性不强等方面，扣1分；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培训方案包括：①培训人员；②培训方式。 评审标准： 1.完整性：方案须全面，完整、科学、合理； 2.可实施性；切合本项目实际情况，步骤明确、可操作性强； 3.针对性：能够紧扣项目实际情况，专业性强、内容科学、合理。 赋分标准（满分4分）： ①每一项评审内容完全满足评审标准得2分； ②每一项评审内容若存在方案不明确、不合理、不完整、针对性不强等方面，扣1分；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经过有效性和符合性审核合格的投标人，商务要求每优于采购文件要求一项得1分，最高加2分。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供应商具有近三年（2022年6月至今）的类似业绩（提供合同扫描件，以合同签订时间为准）每个计1分，最多得5分；未提供不得分。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拟派项目负责人具有相关专业高级工程师得3分；具有相关专业中级职称得1分。 注：提供证书及社保证明复印件，否则不得分。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项目组人员中（项目负责人除外）每具有一个相关专业中级职称得1分，每具有一个相关专业高级职称得2分，本项最高得5分。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满足竞争性磋商文件要求且磋商价格最低的最终磋商报价为磋商基准价，得满分20分； (3) 磋商报价得分=(磋商基准价／最终磋商报价)×20%×100。 备注：当磋商小组认为某个供应商的报价明显低于其他通过符合性审查供应商的报价，有可能影响服务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