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版本号：ZCSP-渭南市-2025-0053420250629001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渭南市岔峪水土保持示范园综合治理工程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ZCSP-渭南市-2025-00534</w:t>
      </w:r>
      <w:r>
        <w:br/>
      </w:r>
      <w:r>
        <w:br/>
      </w:r>
      <w:r>
        <w:br/>
      </w:r>
    </w:p>
    <w:p>
      <w:pPr>
        <w:pStyle w:val="null3"/>
        <w:jc w:val="center"/>
        <w:outlineLvl w:val="2"/>
      </w:pPr>
      <w:r>
        <w:rPr>
          <w:rFonts w:ascii="仿宋_GB2312" w:hAnsi="仿宋_GB2312" w:cs="仿宋_GB2312" w:eastAsia="仿宋_GB2312"/>
          <w:sz w:val="28"/>
          <w:b/>
        </w:rPr>
        <w:t>渭南市水土保持和移民工作中心</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渭南市水土保持和移民工作中心</w:t>
      </w:r>
      <w:r>
        <w:rPr>
          <w:rFonts w:ascii="仿宋_GB2312" w:hAnsi="仿宋_GB2312" w:cs="仿宋_GB2312" w:eastAsia="仿宋_GB2312"/>
        </w:rPr>
        <w:t>委托，拟对</w:t>
      </w:r>
      <w:r>
        <w:rPr>
          <w:rFonts w:ascii="仿宋_GB2312" w:hAnsi="仿宋_GB2312" w:cs="仿宋_GB2312" w:eastAsia="仿宋_GB2312"/>
        </w:rPr>
        <w:t>渭南市岔峪水土保持示范园综合治理工程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ZCSP-渭南市-2025-00534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渭南市岔峪水土保持示范园综合治理工程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本项目规划治理水土流失面积 20.07hm²，其中工程措施：规划沿百良镇岔峪村小曹河村组西部生产路北侧新建浆砌石挡墙 208m，浆砌块石 834.17m³，其中2.5m 高浆砌石挡墙 174m，浆砌块石 642.63m³，3.5m 高浆砌石挡墙 22m，浆砌块石 162.02m³，0.5~2.5m 渐变段 12m，浆砌块石 29.52m³；植物措施：规划在路井镇岱堡村东侧沟坡栽植水保林 20.07hm²，栽植侧柏 33450 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采购包1（渭南市岔峪水土保持示范园综合治理工程）：属于专门面向中小企业采购。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2、企业资质要求： 供应商须具备水利水电工程施工总承包三级（含三级）及以上资质，并具有有效的安全生产许可证；</w:t>
      </w:r>
    </w:p>
    <w:p>
      <w:pPr>
        <w:pStyle w:val="null3"/>
      </w:pPr>
      <w:r>
        <w:rPr>
          <w:rFonts w:ascii="仿宋_GB2312" w:hAnsi="仿宋_GB2312" w:cs="仿宋_GB2312" w:eastAsia="仿宋_GB2312"/>
        </w:rPr>
        <w:t>3、项目经理要求：拟派项目经理须具有水利水电工程二级及以上注册建造师资格并具有有效的安全生产考核合格证，且无在建工程；</w:t>
      </w:r>
    </w:p>
    <w:p>
      <w:pPr>
        <w:pStyle w:val="null3"/>
      </w:pPr>
      <w:r>
        <w:rPr>
          <w:rFonts w:ascii="仿宋_GB2312" w:hAnsi="仿宋_GB2312" w:cs="仿宋_GB2312" w:eastAsia="仿宋_GB2312"/>
        </w:rPr>
        <w:t>4、磋商保证金凭证：磋商保证金凭证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渭南市水土保持和移民工作中心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渭南市临渭区西南京路46号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渭南市水土保持和移民工作中心经办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13309138998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陕西省渭南市临渭区陕西省渭南市临渭区乐天大街福乐新村东1号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杨文英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渭南市水土保持和移民工作中心</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渭南市水土保持和移民工作中心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渭南市水土保持和移民工作中心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符合国家相关工程管理规定及行业标准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联系人：杨文英</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760,000.00</w:t>
      </w:r>
    </w:p>
    <w:p>
      <w:pPr>
        <w:pStyle w:val="null3"/>
      </w:pPr>
      <w:r>
        <w:rPr>
          <w:rFonts w:ascii="仿宋_GB2312" w:hAnsi="仿宋_GB2312" w:cs="仿宋_GB2312" w:eastAsia="仿宋_GB2312"/>
        </w:rPr>
        <w:t>采购包最高限价（元）: 760,000.00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渭南市岔峪水土保持示范园综合治理</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760,000.00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标的名称：渭南市岔峪水土保持示范园综合治理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标准应符合国家相关工程管理规定及行业标准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（1）在施工范围内按施工内容和要求制定详细的施工组织设计方案，方案科学、合理、可靠。 （2）人员配备合理。有针对本项目的项目团队，项目负责人、配备人员分工明确(应有具体成员名单，包括姓名、工作职责等) （3）有各类突发事件的应急预案和措施，有明确具体的承诺。 （4）供应商所拟派的工作人员，若在施工期间发生任何伤害，采购人概不负责，由供应商自行处理。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后至2025年10月31日前完成；（2）质量标准：达到国家现行施工验收规范“合格”标准；（3）工程地点：合阳县百良镇岔峪村、路井镇岱堡村；（4）付款方式：本工程进度付款依据工程进度情况按比例将进度应付款支付给供应商。工程完工后 ，达到付款条件起 10 日内，支付合同总金额的80.00%；本工程峻工验收后需要进行结算审计，最终的结算审定全额为本工程的最终合同价款；工程竣工验收一年内采购人付清全部合同价款。达到付款条件起10 日内，支付合同总金额的 20.00%；（5）合同条款：具体详见合同附件；（6）技术、服务标准和要求：具体详见本章“3.1技术、服务标准和要求”；（7）质保期：自竣工验收合格之日起一年。 （8）中标（成交）供应商在中标（成交）结果公告发布后3个工作日内提供叁套纸质投标文件（经编标工具生成的文件直接打印并加盖公章），递交的纸质版文件内容确保与线上电子文件保持一致，不允许修改和补充。（9）成交供应商应在磋商会议结束后3日内向采购人提交最终版《工程量清单表》，供应商最终版《工程量清单表》中的总报价应与最终磋商总报价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承诺函随结果公告一同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提供具有履行本合同所必需的设备和专业技术能力的说明或承诺；（承诺函格式自拟，并进行签章）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参加政府采购活动前三年内在经营活动中无重大违法记录的书面声明；（声明函格式自拟，并进行签章）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法定代表人证明书与法定代表人授权书.docx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 xml:space="preserve"> 供应商须具备水利水电工程施工总承包三级（含三级）及以上资质，并具有有效的安全生产许可证；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拟派项目经理须具有水利水电工程二级及以上注册建造师资格并具有有效的安全生产考核合格证，且无在建工程；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磋商保证金凭证</w:t>
            </w:r>
          </w:p>
        </w:tc>
        <w:tc>
          <w:tcPr>
            <w:tcW w:type="dxa" w:w="3322"/>
          </w:tcPr>
          <w:p>
            <w:pPr>
              <w:pStyle w:val="null3"/>
            </w:pPr>
            <w:r>
              <w:rPr>
                <w:rFonts w:ascii="仿宋_GB2312" w:hAnsi="仿宋_GB2312" w:cs="仿宋_GB2312" w:eastAsia="仿宋_GB2312"/>
              </w:rPr>
              <w:t>磋商保证金凭证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供应商名称应与营业执照、资质证书、安全生产许可证及获取磋商文件时相一致</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供应商承诺书.docx 政府采购供应商拒绝政府采购领域商业贿赂承诺书.docx 响应文件封面 残疾人福利性单位声明函 法定代表人证明书与法定代表人授权书.docx 报价函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供应商承诺书.docx 响应文件封面 政府采购供应商拒绝政府采购领域商业贿赂承诺书.docx 残疾人福利性单位声明函 法定代表人证明书与法定代表人授权书.docx 报价函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工期是否满足磋商文件规定</w:t>
            </w:r>
          </w:p>
        </w:tc>
        <w:tc>
          <w:tcPr>
            <w:tcW w:type="dxa" w:w="1661"/>
          </w:tcPr>
          <w:p>
            <w:pPr>
              <w:pStyle w:val="null3"/>
            </w:pPr>
            <w:r>
              <w:rPr>
                <w:rFonts w:ascii="仿宋_GB2312" w:hAnsi="仿宋_GB2312" w:cs="仿宋_GB2312" w:eastAsia="仿宋_GB2312"/>
              </w:rPr>
              <w:t>报价函 技术服务合同条款及其他商务要求应答表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磋商小组应当根据综合评分情况，按照评审得分由高到低顺序推荐3名成交候选供应商，并编写评审报告。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经过有效性和符合性审核合格的供应商，对商务要求完全响应采购文件要求的计3分。对商务要求完全响应且优于采购文件要求的，每优于一项加1分，最高加2分。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供应商提供近三年（2022年6月至今）的类似业绩，每提供一份得1分，最多得5分，未提供得0分。（提供合同扫描件，以合同签订时间为准）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对本项目的合理化建议</w:t>
            </w:r>
          </w:p>
        </w:tc>
        <w:tc>
          <w:tcPr>
            <w:tcW w:type="dxa" w:w="2492"/>
          </w:tcPr>
          <w:p>
            <w:pPr>
              <w:pStyle w:val="null3"/>
            </w:pPr>
            <w:r>
              <w:rPr>
                <w:rFonts w:ascii="仿宋_GB2312" w:hAnsi="仿宋_GB2312" w:cs="仿宋_GB2312" w:eastAsia="仿宋_GB2312"/>
              </w:rPr>
              <w:t>供应商针对本项目提出合理化建议： 每提出一条有利于本项目实施的合理化建议得1分。本项最高得5分。未提供或提出的建议与本项目无关或无可行性的得0分。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评审内容： 内容至少包括①施工总平面布置；②施工目标：安全目标、工期目标、质量目标；③资源配备计划：主要施工机械设备、劳动力等配备计划及主材进场计划； 评审标准： 1.完整性：响应全面，对评审内容中的各项要求有详细描述； 2.可实施性：内容科学，步骤清晰、合理，可实施性强； 3.针对性：能够紧扣项目实际情况，满足具体要求。 赋分标准（6分）： ①每一项评审内容完全满足评审标准得2分； ②每一项评审内容，若存在不明确、不合理、不完整、针对性不强等方面，扣1分；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 内容至少包括①施工准备；②施工方法及相关技术措施；③重点难点工程分析及解决措施； 评审标准： 1.完整性：响应全面，对评审内容中的各项要求有详细描述； 2.可实施性：内容科学，步骤清晰、合理，可实施性强； 3.针对性：能够紧扣项目实际情况，满足具体要求。 赋分标准（9分）： ①每一项评审内容完全满足评审标准得3分； ②每一项评审内容，若存在不明确、不合理、不完整、针对性不强等方面，扣1.5分；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评审内容： 内容至少包括①施工进度计划；②工期保障措施。 评审标准： 1.完整性：响应全面，对评审内容中的各项要求有详细描述； 2.可实施性：内容科学，步骤清晰、合理，可实施性强； 3.针对性：能够紧扣项目实际情况，满足具体要求。 赋分标准（6分）： ①每一项评审内容完全满足评审标准得3分； ②每一项评审内容，若存在不明确、不合理、不完整、针对性不强等方面，扣1.5分；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评审内容： 内容至少包括①质量管理体系；②施工质量保障措施。 评审标准： 1.完整性：响应全面，对评审内容中的各项要求有详细描述； 2.可实施性：内容科学，步骤清晰、合理，可实施性强； 3.针对性：能够紧扣项目实际情况，满足具体要求。 赋分标准（6分）： ①每一项评审内容完全满足评审标准得3分； ②每一项评审内容，若存在不明确、不合理、不完整、针对性不强等方面，扣1.5分；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评审内容： 内容至少包括①安全生产管理体系；②安全生产保证措施。 评审标准： 1.完整性：响应全面，对评审内容中的各项要求有详细描述； 2.可实施性：内容科学，步骤清晰、合理，可实施性强； 3.针对性：能够紧扣项目实际情况，满足具体要求。 赋分标准（6分）： ①每一项评审内容完全满足评审标准得3分； ②每一项评审内容，若存在不明确、不合理、不完整、针对性不强等方面，扣1.5分；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评审内容： 内容至少包括①文明施工及环境保护管理体系；②防尘降噪措施；③文明施工及环境保护措施。 评审标准： 1.完整性：响应全面，对评审内容中的各项要求有详细描述； 2.可实施性：内容科学，步骤清晰、合理，可实施性强； 3.针对性：能够紧扣项目实际情况，满足具体要求。 赋分标准（ 6分）： ①每一项评审内容完全满足评审标准得2分； ②每一项评审内容，若存在不明确、不合理、不完整、针对性不强等方面，扣1分；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评审内容： 1.项目管理机构中每具有一个工程类中级职称得0.5分，具有高级职称得1分；本项最高得2分。 2.根据项目人员配备情况： ①项目管理机构人员配备10人及以上得4分； ②项目管理机构人员配备4-9人得3分； ③项目管理机构人员配备1-3人得1分。 本项目须提供人员相关证件； 注：不提供或完全背离评审标准得0分。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满足竞争性磋商文件要求且磋商价格最低的最终磋商报价为磋商基准价，得满分40分； (3) 磋商报价得分=(磋商基准价／最终磋商报价)×40%×100。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