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版本号：ZZ-采【C250626Y】20250626001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渭南高新区规划环评修编项目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ZZ-采【C250626Y】</w:t>
      </w:r>
      <w:r>
        <w:br/>
      </w:r>
      <w:r>
        <w:br/>
      </w:r>
      <w:r>
        <w:br/>
      </w:r>
    </w:p>
    <w:p>
      <w:pPr>
        <w:pStyle w:val="null3"/>
        <w:jc w:val="center"/>
        <w:outlineLvl w:val="2"/>
      </w:pPr>
      <w:r>
        <w:rPr>
          <w:rFonts w:ascii="仿宋_GB2312" w:hAnsi="仿宋_GB2312" w:cs="仿宋_GB2312" w:eastAsia="仿宋_GB2312"/>
          <w:sz w:val="28"/>
          <w:b/>
        </w:rPr>
        <w:t>渭南市生态环境局高新分局</w:t>
      </w:r>
    </w:p>
    <w:p>
      <w:pPr>
        <w:pStyle w:val="null3"/>
        <w:jc w:val="center"/>
        <w:outlineLvl w:val="2"/>
      </w:pPr>
      <w:r>
        <w:rPr>
          <w:rFonts w:ascii="仿宋_GB2312" w:hAnsi="仿宋_GB2312" w:cs="仿宋_GB2312" w:eastAsia="仿宋_GB2312"/>
          <w:sz w:val="28"/>
          <w:b/>
        </w:rPr>
        <w:t>陕西中招招标有限责任公司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陕西中招招标有限责任公司</w:t>
      </w:r>
      <w:r>
        <w:rPr>
          <w:rFonts w:ascii="仿宋_GB2312" w:hAnsi="仿宋_GB2312" w:cs="仿宋_GB2312" w:eastAsia="仿宋_GB2312"/>
        </w:rPr>
        <w:t>（以下简称“代理机构”）受</w:t>
      </w:r>
      <w:r>
        <w:rPr>
          <w:rFonts w:ascii="仿宋_GB2312" w:hAnsi="仿宋_GB2312" w:cs="仿宋_GB2312" w:eastAsia="仿宋_GB2312"/>
        </w:rPr>
        <w:t>渭南市生态环境局高新分局</w:t>
      </w:r>
      <w:r>
        <w:rPr>
          <w:rFonts w:ascii="仿宋_GB2312" w:hAnsi="仿宋_GB2312" w:cs="仿宋_GB2312" w:eastAsia="仿宋_GB2312"/>
        </w:rPr>
        <w:t>委托，拟对</w:t>
      </w:r>
      <w:r>
        <w:rPr>
          <w:rFonts w:ascii="仿宋_GB2312" w:hAnsi="仿宋_GB2312" w:cs="仿宋_GB2312" w:eastAsia="仿宋_GB2312"/>
        </w:rPr>
        <w:t>渭南高新区规划环评修编项目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ZZ-采【C250626Y】</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渭南高新区规划环评修编项目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对渭南高新区规划环评修编等相关服务进行采购，工作内容不仅限于现场踏勘、收集资料、环境现状监测、报告编制分析、规划方案、环保对策与措施、报告技术审查、收集分析公众建议和意见等。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采购包1（渭南高新区规划环评修编项目）：属于专门面向中小企业采购。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1、法定代表人资格证明：提供法定代表人资格证明。</w:t>
      </w:r>
    </w:p>
    <w:p>
      <w:pPr>
        <w:pStyle w:val="null3"/>
      </w:pPr>
      <w:r>
        <w:rPr>
          <w:rFonts w:ascii="仿宋_GB2312" w:hAnsi="仿宋_GB2312" w:cs="仿宋_GB2312" w:eastAsia="仿宋_GB2312"/>
        </w:rPr>
        <w:t>2、营业执照或等同：国内合法注册，具有独立承担民事责任能力的法人或其他组织。</w:t>
      </w:r>
    </w:p>
    <w:p>
      <w:pPr>
        <w:pStyle w:val="null3"/>
      </w:pPr>
      <w:r>
        <w:rPr>
          <w:rFonts w:ascii="仿宋_GB2312" w:hAnsi="仿宋_GB2312" w:cs="仿宋_GB2312" w:eastAsia="仿宋_GB2312"/>
        </w:rPr>
        <w:t>3、供应商应提供健全的财务会计制度的证明材料：提供2024年年度财务报表（至少包含资产负债表、利润表、现金流量表）或供应商开户行针对本项目开具的资信证明。</w:t>
      </w:r>
    </w:p>
    <w:p>
      <w:pPr>
        <w:pStyle w:val="null3"/>
      </w:pPr>
      <w:r>
        <w:rPr>
          <w:rFonts w:ascii="仿宋_GB2312" w:hAnsi="仿宋_GB2312" w:cs="仿宋_GB2312" w:eastAsia="仿宋_GB2312"/>
        </w:rPr>
        <w:t>4、完税证明及社保缴纳凭证：提供2024年1月至今任意一个月完税证明及社保缴纳凭证（须含养老），依法免税或至提交首次响应文件截止时间成立不足一月的企业提供相关有效证明材料，时间以税款所属日期为准；凭证应有税务机关或代收机关的公章或业务专用章，复印件须加盖供应商公章。</w:t>
      </w:r>
    </w:p>
    <w:p>
      <w:pPr>
        <w:pStyle w:val="null3"/>
      </w:pPr>
      <w:r>
        <w:rPr>
          <w:rFonts w:ascii="仿宋_GB2312" w:hAnsi="仿宋_GB2312" w:cs="仿宋_GB2312" w:eastAsia="仿宋_GB2312"/>
        </w:rPr>
        <w:t>5、供应商及编制主持人资质：供应商及编制主持人须在“环境影响评价信用平台”（https://xypt.china-eia.com/XYPT/）中查询到基本信息。</w:t>
      </w:r>
    </w:p>
    <w:p>
      <w:pPr>
        <w:pStyle w:val="null3"/>
      </w:pPr>
      <w:r>
        <w:rPr>
          <w:rFonts w:ascii="仿宋_GB2312" w:hAnsi="仿宋_GB2312" w:cs="仿宋_GB2312" w:eastAsia="仿宋_GB2312"/>
        </w:rPr>
        <w:t>6、编制主持人资格证明：拟派编制主持人须具备环境影响评价工程师职业资格证书且在本单位注册。</w:t>
      </w:r>
    </w:p>
    <w:p>
      <w:pPr>
        <w:pStyle w:val="null3"/>
      </w:pPr>
      <w:r>
        <w:rPr>
          <w:rFonts w:ascii="仿宋_GB2312" w:hAnsi="仿宋_GB2312" w:cs="仿宋_GB2312" w:eastAsia="仿宋_GB2312"/>
        </w:rPr>
        <w:t>7、供应商信用查询：供应商不得在“信用中国”（www.creditchina.gov.cn）和“中国政府采购网”（www.ccgp.gov.cn）有失信记录。（1.“信用中国：未被列入失信被执行人和重大税收违法案件当事人;2.“中国政府采购网”:未被列入严重违法失信行为记录名单。）</w:t>
      </w:r>
    </w:p>
    <w:p>
      <w:pPr>
        <w:pStyle w:val="null3"/>
      </w:pPr>
      <w:r>
        <w:rPr>
          <w:rFonts w:ascii="仿宋_GB2312" w:hAnsi="仿宋_GB2312" w:cs="仿宋_GB2312" w:eastAsia="仿宋_GB2312"/>
        </w:rPr>
        <w:t>8、无重大违法违规记录、无重大行政处罚、无重大安全事故的书面声明：供应商在参加本采购活动前三年内（2022年6月至提交首次响应文件截止时间止）在经营活动中无重大违法违规记录、无重大行政处罚、无重大安全事故的书面声明。</w:t>
      </w:r>
    </w:p>
    <w:p>
      <w:pPr>
        <w:pStyle w:val="null3"/>
      </w:pPr>
      <w:r>
        <w:rPr>
          <w:rFonts w:ascii="仿宋_GB2312" w:hAnsi="仿宋_GB2312" w:cs="仿宋_GB2312" w:eastAsia="仿宋_GB2312"/>
        </w:rPr>
        <w:t>9、提供磋商保证金凭证或磋商保函：缴纳磋商保证金。</w:t>
      </w:r>
    </w:p>
    <w:p>
      <w:pPr>
        <w:pStyle w:val="null3"/>
      </w:pPr>
      <w:r>
        <w:rPr>
          <w:rFonts w:ascii="仿宋_GB2312" w:hAnsi="仿宋_GB2312" w:cs="仿宋_GB2312" w:eastAsia="仿宋_GB2312"/>
        </w:rPr>
        <w:t>10、禁止围标串标：禁止磋商情形：①法定代表人或负责人为同一人或存在直接控股、管理关系的不同单位，不得同时参加本项目磋商；②与采购人存在利害关系的单位不得参加本项目磋商；③法律法规规定的其他禁止磋商情形。</w:t>
      </w:r>
    </w:p>
    <w:p>
      <w:pPr>
        <w:pStyle w:val="null3"/>
      </w:pPr>
      <w:r>
        <w:rPr>
          <w:rFonts w:ascii="仿宋_GB2312" w:hAnsi="仿宋_GB2312" w:cs="仿宋_GB2312" w:eastAsia="仿宋_GB2312"/>
        </w:rPr>
        <w:t>11、提供非联合体磋商声明函：非联合体磋商。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渭南市生态环境局高新分局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渭南市东风大街西段57号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徐岩龙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15029657010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陕西中招招标有限责任公司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陕西省西安市莲湖区沣惠路南段艺腾国际商务大厦十楼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招标五部-范博、左金娟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029-81510917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开户名称：陕西中招招标有限责任公司</w:t>
            </w:r>
          </w:p>
          <w:p>
            <w:pPr>
              <w:pStyle w:val="null3"/>
            </w:pPr>
            <w:r>
              <w:rPr>
                <w:rFonts w:ascii="仿宋_GB2312" w:hAnsi="仿宋_GB2312" w:cs="仿宋_GB2312" w:eastAsia="仿宋_GB2312"/>
              </w:rPr>
              <w:t>开户银行：中国工商银行股份有限公司西安市解放路支行</w:t>
            </w:r>
          </w:p>
          <w:p>
            <w:pPr>
              <w:pStyle w:val="null3"/>
            </w:pPr>
            <w:r>
              <w:rPr>
                <w:rFonts w:ascii="仿宋_GB2312" w:hAnsi="仿宋_GB2312" w:cs="仿宋_GB2312" w:eastAsia="仿宋_GB2312"/>
              </w:rPr>
              <w:t>银行账号：3700020619005074459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①以采购人与代理机构委托协议为准。参照《招标代理服务收费管理暂行办法》计价格【2002】1980号文及发改价格[2015]299号文件相关规定计算收取。②成交人确定之日起2日内一次性全额支付。费用包含在投标报价中，无论计算与否，均视为已知。</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渭南市生态环境局高新分局</w:t>
      </w:r>
      <w:r>
        <w:rPr>
          <w:rFonts w:ascii="仿宋_GB2312" w:hAnsi="仿宋_GB2312" w:cs="仿宋_GB2312" w:eastAsia="仿宋_GB2312"/>
        </w:rPr>
        <w:t>和</w:t>
      </w:r>
      <w:r>
        <w:rPr>
          <w:rFonts w:ascii="仿宋_GB2312" w:hAnsi="仿宋_GB2312" w:cs="仿宋_GB2312" w:eastAsia="仿宋_GB2312"/>
        </w:rPr>
        <w:t>陕西中招招标有限责任公司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渭南市生态环境局高新分局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陕西中招招标有限责任公司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渭南市生态环境局高新分局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陕西中招招标有限责任公司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1.履约争议或违约： 供应商在合同履行过程中出现的争议及违约，按合同约定及民法典的规定追究违约方责任。有政府采购法律法规规定的违法违规情形的，采购人应当及时报告财政管理部门。 2.履约验收主体： 采购人或其委托的代理机构应当及时对采购项目进行履约验收。采购人可以邀请参加本项目的其他供应商或者第三方机构及专家参与履约验收，验收意见作为验收报告的参考资料一并存档。 3.履约验收依据： 履约验收主体应当按照采购合同规定的标的、技术、标准、服务内容、质量和安全等要求，组织对供应商履约情况进行验收，并出具验收报告。验收报告包括：技术、服务、安全等的履约情况。 4.履约验收标准： 达到采购要求及省市地方现行质量标准。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联系人：任老师</w:t>
      </w:r>
    </w:p>
    <w:p>
      <w:pPr>
        <w:pStyle w:val="null3"/>
      </w:pPr>
      <w:r>
        <w:rPr>
          <w:rFonts w:ascii="仿宋_GB2312" w:hAnsi="仿宋_GB2312" w:cs="仿宋_GB2312" w:eastAsia="仿宋_GB2312"/>
        </w:rPr>
        <w:t>联系电话：029-81510957</w:t>
      </w:r>
    </w:p>
    <w:p>
      <w:pPr>
        <w:pStyle w:val="null3"/>
      </w:pPr>
      <w:r>
        <w:rPr>
          <w:rFonts w:ascii="仿宋_GB2312" w:hAnsi="仿宋_GB2312" w:cs="仿宋_GB2312" w:eastAsia="仿宋_GB2312"/>
        </w:rPr>
        <w:t>地址：西安市沣惠路南段艺腾国际商务大厦1015室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对渭南高新区规划环评修编等相关服务进行采购，工作内容不仅限于现场踏勘、收集资料、环境现状监测、报告编制分析、规划方案、环保对策与措施、报告技术审查、收集分析公众建议和意见等。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1,440,000.00</w:t>
      </w:r>
    </w:p>
    <w:p>
      <w:pPr>
        <w:pStyle w:val="null3"/>
      </w:pPr>
      <w:r>
        <w:rPr>
          <w:rFonts w:ascii="仿宋_GB2312" w:hAnsi="仿宋_GB2312" w:cs="仿宋_GB2312" w:eastAsia="仿宋_GB2312"/>
        </w:rPr>
        <w:t>采购包最高限价（元）: 1,440,000.00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渭南高新区规划环评修编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标的名称：渭南高新区规划环评修编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一、基本要求</w:t>
            </w:r>
          </w:p>
          <w:p>
            <w:pPr>
              <w:pStyle w:val="null3"/>
            </w:pPr>
            <w:r>
              <w:rPr>
                <w:rFonts w:ascii="仿宋_GB2312" w:hAnsi="仿宋_GB2312" w:cs="仿宋_GB2312" w:eastAsia="仿宋_GB2312"/>
                <w:sz w:val="21"/>
              </w:rPr>
              <w:t>1.资料收集与分析</w:t>
            </w:r>
          </w:p>
          <w:p>
            <w:pPr>
              <w:pStyle w:val="null3"/>
            </w:pPr>
            <w:r>
              <w:rPr>
                <w:rFonts w:ascii="仿宋_GB2312" w:hAnsi="仿宋_GB2312" w:cs="仿宋_GB2312" w:eastAsia="仿宋_GB2312"/>
                <w:sz w:val="21"/>
              </w:rPr>
              <w:t xml:space="preserve">  全面收集规划修编涉及的相关资料，包括但不限于规划文本、基础地理信息、产业发展资料、已有环评报告等，并进行深入分析，梳理规划调整的主要内容、变化趋势及可能产生的环境影响因素。</w:t>
            </w:r>
          </w:p>
          <w:p>
            <w:pPr>
              <w:pStyle w:val="null3"/>
            </w:pPr>
            <w:r>
              <w:rPr>
                <w:rFonts w:ascii="仿宋_GB2312" w:hAnsi="仿宋_GB2312" w:cs="仿宋_GB2312" w:eastAsia="仿宋_GB2312"/>
                <w:sz w:val="21"/>
              </w:rPr>
              <w:t>2.现状调查与监测</w:t>
            </w:r>
          </w:p>
          <w:p>
            <w:pPr>
              <w:pStyle w:val="null3"/>
            </w:pPr>
            <w:r>
              <w:rPr>
                <w:rFonts w:ascii="仿宋_GB2312" w:hAnsi="仿宋_GB2312" w:cs="仿宋_GB2312" w:eastAsia="仿宋_GB2312"/>
                <w:sz w:val="21"/>
              </w:rPr>
              <w:t xml:space="preserve">  对规划区域的环境质量现状进行调查和监测，涵盖大气环境、地表水环境、地下水环境、土壤环境、声环境等要素。明确监测点位、监测项目、监测频次，确保获取的现状数据准确、全面、具有代表性 ，能真实反映规划区域当前环境质量状况。</w:t>
            </w:r>
          </w:p>
          <w:p>
            <w:pPr>
              <w:pStyle w:val="null3"/>
            </w:pPr>
            <w:r>
              <w:rPr>
                <w:rFonts w:ascii="仿宋_GB2312" w:hAnsi="仿宋_GB2312" w:cs="仿宋_GB2312" w:eastAsia="仿宋_GB2312"/>
                <w:sz w:val="21"/>
              </w:rPr>
              <w:t>3.环境影响预测与评价</w:t>
            </w:r>
          </w:p>
          <w:p>
            <w:pPr>
              <w:pStyle w:val="null3"/>
            </w:pPr>
            <w:r>
              <w:rPr>
                <w:rFonts w:ascii="仿宋_GB2312" w:hAnsi="仿宋_GB2312" w:cs="仿宋_GB2312" w:eastAsia="仿宋_GB2312"/>
                <w:sz w:val="21"/>
              </w:rPr>
              <w:t xml:space="preserve">  采用科学合理的预测方法和模型，对规划实施后可能产生的各类环境影响进行预测和评价。针对大气污染物、水污染物排放，以及生态破坏、环境风险等方面进行量化分析，评估对周边环境敏感目标的影响程度和范围。</w:t>
            </w:r>
          </w:p>
          <w:p>
            <w:pPr>
              <w:pStyle w:val="null3"/>
            </w:pPr>
            <w:r>
              <w:rPr>
                <w:rFonts w:ascii="仿宋_GB2312" w:hAnsi="仿宋_GB2312" w:cs="仿宋_GB2312" w:eastAsia="仿宋_GB2312"/>
                <w:sz w:val="21"/>
              </w:rPr>
              <w:t>4.规划方案环境合理性论证</w:t>
            </w:r>
          </w:p>
          <w:p>
            <w:pPr>
              <w:pStyle w:val="null3"/>
            </w:pPr>
            <w:r>
              <w:rPr>
                <w:rFonts w:ascii="仿宋_GB2312" w:hAnsi="仿宋_GB2312" w:cs="仿宋_GB2312" w:eastAsia="仿宋_GB2312"/>
                <w:sz w:val="21"/>
              </w:rPr>
              <w:t xml:space="preserve">  从资源利用、生态保护、污染防治等多角度，对规划方案的环境合理性进行论证。分析规划的产业布局、规模、结构等是否符合区域资源环境承载能力，提出规划方案优化调整建议。</w:t>
            </w:r>
          </w:p>
          <w:p>
            <w:pPr>
              <w:pStyle w:val="null3"/>
            </w:pPr>
            <w:r>
              <w:rPr>
                <w:rFonts w:ascii="仿宋_GB2312" w:hAnsi="仿宋_GB2312" w:cs="仿宋_GB2312" w:eastAsia="仿宋_GB2312"/>
                <w:sz w:val="21"/>
              </w:rPr>
              <w:t>5.环保对策与措施制定</w:t>
            </w:r>
          </w:p>
          <w:p>
            <w:pPr>
              <w:pStyle w:val="null3"/>
            </w:pPr>
            <w:r>
              <w:rPr>
                <w:rFonts w:ascii="仿宋_GB2312" w:hAnsi="仿宋_GB2312" w:cs="仿宋_GB2312" w:eastAsia="仿宋_GB2312"/>
                <w:sz w:val="21"/>
              </w:rPr>
              <w:t xml:space="preserve">  依据环境影响预测与评价结果，制定切实可行的环境保护对策和措施。涵盖污染防治措施（如废气、废水、固废处理措施）、生态保护与修复措施、环境风险防范措施等，明确措施的实施主体、实施期限和预期效果。</w:t>
            </w:r>
          </w:p>
          <w:p>
            <w:pPr>
              <w:pStyle w:val="null3"/>
            </w:pPr>
            <w:r>
              <w:rPr>
                <w:rFonts w:ascii="仿宋_GB2312" w:hAnsi="仿宋_GB2312" w:cs="仿宋_GB2312" w:eastAsia="仿宋_GB2312"/>
                <w:sz w:val="21"/>
              </w:rPr>
              <w:t>6.公众参与</w:t>
            </w:r>
          </w:p>
          <w:p>
            <w:pPr>
              <w:pStyle w:val="null3"/>
            </w:pPr>
            <w:r>
              <w:rPr>
                <w:rFonts w:ascii="仿宋_GB2312" w:hAnsi="仿宋_GB2312" w:cs="仿宋_GB2312" w:eastAsia="仿宋_GB2312"/>
                <w:sz w:val="21"/>
              </w:rPr>
              <w:t xml:space="preserve">  按照相关法律法规和政策要求，组织开展公众参与工作。通过公示、问卷调查、座谈会等多种形式，广泛征求规划区域内及周边公众、相关单位和专家的意见和建议，并对反馈意见进行认真梳理、分析和回应，将合理意见纳入环评报告。</w:t>
            </w:r>
          </w:p>
          <w:p>
            <w:pPr>
              <w:pStyle w:val="null3"/>
            </w:pPr>
            <w:r>
              <w:rPr>
                <w:rFonts w:ascii="仿宋_GB2312" w:hAnsi="仿宋_GB2312" w:cs="仿宋_GB2312" w:eastAsia="仿宋_GB2312"/>
                <w:sz w:val="21"/>
              </w:rPr>
              <w:t>7.报告编制与评审</w:t>
            </w:r>
          </w:p>
          <w:p>
            <w:pPr>
              <w:pStyle w:val="null3"/>
            </w:pPr>
            <w:r>
              <w:rPr>
                <w:rFonts w:ascii="仿宋_GB2312" w:hAnsi="仿宋_GB2312" w:cs="仿宋_GB2312" w:eastAsia="仿宋_GB2312"/>
                <w:sz w:val="21"/>
              </w:rPr>
              <w:t xml:space="preserve">  编制规划环评修编报告书，内容应完整、规范、条理清晰，数据详实、结论科学。配合采购人组织专家评审会，根据专家意见对报告书进行修改完善，确保规划环评修编报告通过相关生态环境主管部门的审查。</w:t>
            </w:r>
          </w:p>
          <w:p>
            <w:pPr>
              <w:pStyle w:val="null3"/>
            </w:pPr>
            <w:r>
              <w:rPr>
                <w:rFonts w:ascii="仿宋_GB2312" w:hAnsi="仿宋_GB2312" w:cs="仿宋_GB2312" w:eastAsia="仿宋_GB2312"/>
                <w:sz w:val="21"/>
              </w:rPr>
              <w:t>二、使用设备技术要求</w:t>
            </w:r>
          </w:p>
          <w:p>
            <w:pPr>
              <w:pStyle w:val="null3"/>
            </w:pPr>
            <w:r>
              <w:rPr>
                <w:rFonts w:ascii="仿宋_GB2312" w:hAnsi="仿宋_GB2312" w:cs="仿宋_GB2312" w:eastAsia="仿宋_GB2312"/>
                <w:sz w:val="21"/>
              </w:rPr>
              <w:t xml:space="preserve">  供应商应具备开展规划环评所需的设备和设施，包括但不限于数据处理软件、办公设备及交通工具等，确保能够高效、准确地完成各项工作任务。</w:t>
            </w:r>
          </w:p>
          <w:p>
            <w:pPr>
              <w:pStyle w:val="null3"/>
            </w:pPr>
            <w:r>
              <w:rPr>
                <w:rFonts w:ascii="仿宋_GB2312" w:hAnsi="仿宋_GB2312" w:cs="仿宋_GB2312" w:eastAsia="仿宋_GB2312"/>
                <w:sz w:val="21"/>
              </w:rPr>
              <w:t>三、服务技术人员</w:t>
            </w:r>
          </w:p>
          <w:p>
            <w:pPr>
              <w:pStyle w:val="null3"/>
            </w:pPr>
            <w:r>
              <w:rPr>
                <w:rFonts w:ascii="仿宋_GB2312" w:hAnsi="仿宋_GB2312" w:cs="仿宋_GB2312" w:eastAsia="仿宋_GB2312"/>
                <w:sz w:val="21"/>
              </w:rPr>
              <w:t xml:space="preserve">  团队成员≥3人，应具备丰富的规划环评工作经验和专业知识。编制主持人需具备注册环评工程师资格，团队中应包含与本项目相关专业技术人员，人员数量和专业构成应满足项目工作需要。</w:t>
            </w:r>
          </w:p>
          <w:p>
            <w:pPr>
              <w:pStyle w:val="null3"/>
            </w:pPr>
            <w:r>
              <w:rPr>
                <w:rFonts w:ascii="仿宋_GB2312" w:hAnsi="仿宋_GB2312" w:cs="仿宋_GB2312" w:eastAsia="仿宋_GB2312"/>
                <w:sz w:val="21"/>
              </w:rPr>
              <w:t>四、资料交付</w:t>
            </w:r>
          </w:p>
          <w:p>
            <w:pPr>
              <w:pStyle w:val="null3"/>
            </w:pPr>
            <w:r>
              <w:rPr>
                <w:rFonts w:ascii="仿宋_GB2312" w:hAnsi="仿宋_GB2312" w:cs="仿宋_GB2312" w:eastAsia="仿宋_GB2312"/>
                <w:sz w:val="21"/>
              </w:rPr>
              <w:t xml:space="preserve">  1. 提交的规划环评修编报告书应符合国家、地方相关法律法规、技术标准和规范要求，内容完整、数据准确、分析透彻、结论科学合理，具有较强的针对性和可操作性。报告书应包括但不限于规划概述、区域环境现状、环境影响预测与评价、规划方案环境合理性论证、环保对策与措施、公众参与、结论与建议等章节。</w:t>
            </w:r>
          </w:p>
          <w:p>
            <w:pPr>
              <w:pStyle w:val="null3"/>
            </w:pPr>
            <w:r>
              <w:rPr>
                <w:rFonts w:ascii="仿宋_GB2312" w:hAnsi="仿宋_GB2312" w:cs="仿宋_GB2312" w:eastAsia="仿宋_GB2312"/>
                <w:sz w:val="21"/>
              </w:rPr>
              <w:t xml:space="preserve">  2.提供纸质版规划环评修编报告书10份，同时提供电子版报告书（word格式和PDF格式各一份）及相关附件资料（如监测报告、公众参与材料等）。</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团队成员≥3人，应具备丰富的规划环评工作经验和专业知识。编制主持人需具备注册环评工程师资格，团队中应包含与本项目相关专业技术人员，人员数量和专业构成应满足项目工作需要。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供应商应具备开展规划环评所需的设备和设施，包括但不限于数据处理软件、办公设备及交通工具等，确保能够高效、准确地完成各项工作任务。</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提交的规划环评修编报告书应符合国家、地方相关法律法规、技术标准和规范要求，内容完整、数据准确、分析透彻、结论科学合理，具有较强的针对性和可操作性。报告书应包括但不限于规划概述、区域环境现状、环境影响预测与评价、规划方案环境合理性论证、环保对策与措施、公众参与、结论与建议等章节。 2.提供纸质版规划环评修编报告书10份，同时提供电子版报告书（word格式和PDF格式各一份）及相关附件资料（如监测报告、公众参与材料等）。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项目结束并验收合格，双方无异议后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服务不符合磋商文件、响应文件或本合同规定，或乙方怠于履行合同，经催告后，仍未严格按照合同履行相关服务内容，甲方有权解除合同，已支付的服务费乙方应如数退回，未支付的服务费不再支付，并且乙方须向甲方支付本合同总价10%的违约金。 2、乙方提交的书面报告等编制成果不符合合同约定标准，导致甲方遭受的一切损失，均由乙方承担，乙方应退回服务费。 3、乙方未能按本合同规定的服务时间提供服务，从逾期之日起每日按本合同总价0.3%的数额向甲方支付违约金；逾期半个月以上的，甲方有权解除合同，已支付的服务费乙方应如数退回，未支付的服务费不再支付，由此造成的甲方经济损失由乙方承担。 4、乙方工作人员在履行合同过程中发生的人身伤亡等，与甲方无关，由乙方自行承担。 5、乙方在履行合同过程中产生的民事、行政及刑事责任，与甲方无关，由乙方自行承担。 6、其它违约责任按《中华人民共和国民法典》处理。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1.磋商小组： （1）依法从省财政厅专家库中随机抽取相关专业专家2名，与1名采购人代表组成3人磋商小组。 （2）磋商小组推荐一名专家担任组长，负责项目评审工作。 2.本项目所属行业：其他未列明行业。中小企业划型标准（1）从业人员≥300人，为大型企业；（2）100人≤从业人员＜300人，为中型企业；（3）10人≤从业人员＜100人，为小型企业；（4）从业人员＜10人以下，为微型企业。3.线上文件编制：供应商编制文件时，应首先按磋商文件给定的目录、顺序、内容及格式进行编制，其次供应商可根据其响应实际情况，在磋商文件给定的目录下增设多级子目录或其他新目录，内容对应准确，页码清晰。 3.磋商评审结束后3个工作日内，成交供应商应提供纸质版响应文件（资质、商务、技术胶装成一本）三本，送至代理机构存档备案。线下纸质版文件应与线上电子文件内容及格式保持一致。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提供2024年年度财务报表（至少包含资产负债表、利润表、现金流量表）或供应商开户行针对本项目开具的资信证明。</w:t>
            </w:r>
          </w:p>
        </w:tc>
        <w:tc>
          <w:tcPr>
            <w:tcW w:type="dxa" w:w="1661"/>
          </w:tcPr>
          <w:p>
            <w:pPr>
              <w:pStyle w:val="null3"/>
            </w:pPr>
            <w:r>
              <w:rPr>
                <w:rFonts w:ascii="仿宋_GB2312" w:hAnsi="仿宋_GB2312" w:cs="仿宋_GB2312" w:eastAsia="仿宋_GB2312"/>
              </w:rPr>
              <w:t>供应商应提供健全的财务会计制度的证明材料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法定代表人资格证明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提供2024年年度财务报表（至少包含资产负债表、利润表、现金流量表）或供应商开户行针对本项目开具的资信证明。</w:t>
            </w:r>
          </w:p>
        </w:tc>
        <w:tc>
          <w:tcPr>
            <w:tcW w:type="dxa" w:w="1661"/>
          </w:tcPr>
          <w:p>
            <w:pPr>
              <w:pStyle w:val="null3"/>
            </w:pPr>
            <w:r>
              <w:rPr>
                <w:rFonts w:ascii="仿宋_GB2312" w:hAnsi="仿宋_GB2312" w:cs="仿宋_GB2312" w:eastAsia="仿宋_GB2312"/>
              </w:rPr>
              <w:t>供应商应提供健全的财务会计制度的证明材料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完税证明及社保缴纳凭证</w:t>
            </w:r>
          </w:p>
        </w:tc>
        <w:tc>
          <w:tcPr>
            <w:tcW w:type="dxa" w:w="3322"/>
          </w:tcPr>
          <w:p>
            <w:pPr>
              <w:pStyle w:val="null3"/>
            </w:pPr>
            <w:r>
              <w:rPr>
                <w:rFonts w:ascii="仿宋_GB2312" w:hAnsi="仿宋_GB2312" w:cs="仿宋_GB2312" w:eastAsia="仿宋_GB2312"/>
              </w:rPr>
              <w:t>提供2024年1月至今任意一个月完税证明及社保缴纳凭证（须含养老），依法免税或至提交首次响应文件截止时间成立不足一月的企业提供相关有效证明材料，时间以税款所属日期为准；凭证应有税务机关或代收机关的公章或业务专用章，复印件须加盖供应商公章。</w:t>
            </w:r>
          </w:p>
        </w:tc>
        <w:tc>
          <w:tcPr>
            <w:tcW w:type="dxa" w:w="1661"/>
          </w:tcPr>
          <w:p>
            <w:pPr>
              <w:pStyle w:val="null3"/>
            </w:pPr>
            <w:r>
              <w:rPr>
                <w:rFonts w:ascii="仿宋_GB2312" w:hAnsi="仿宋_GB2312" w:cs="仿宋_GB2312" w:eastAsia="仿宋_GB2312"/>
              </w:rPr>
              <w:t>完税证明及社保缴纳凭证</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供应商及编制主持人资质</w:t>
            </w:r>
          </w:p>
        </w:tc>
        <w:tc>
          <w:tcPr>
            <w:tcW w:type="dxa" w:w="3322"/>
          </w:tcPr>
          <w:p>
            <w:pPr>
              <w:pStyle w:val="null3"/>
            </w:pPr>
            <w:r>
              <w:rPr>
                <w:rFonts w:ascii="仿宋_GB2312" w:hAnsi="仿宋_GB2312" w:cs="仿宋_GB2312" w:eastAsia="仿宋_GB2312"/>
              </w:rPr>
              <w:t>供应商及编制主持人须在“环境影响评价信用平台”（https://xypt.china-eia.com/XYPT/）中查询到基本信息。</w:t>
            </w:r>
          </w:p>
        </w:tc>
        <w:tc>
          <w:tcPr>
            <w:tcW w:type="dxa" w:w="1661"/>
          </w:tcPr>
          <w:p>
            <w:pPr>
              <w:pStyle w:val="null3"/>
            </w:pPr>
            <w:r>
              <w:rPr>
                <w:rFonts w:ascii="仿宋_GB2312" w:hAnsi="仿宋_GB2312" w:cs="仿宋_GB2312" w:eastAsia="仿宋_GB2312"/>
              </w:rPr>
              <w:t>供应商及编制主持人资质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编制主持人资格证明</w:t>
            </w:r>
          </w:p>
        </w:tc>
        <w:tc>
          <w:tcPr>
            <w:tcW w:type="dxa" w:w="3322"/>
          </w:tcPr>
          <w:p>
            <w:pPr>
              <w:pStyle w:val="null3"/>
            </w:pPr>
            <w:r>
              <w:rPr>
                <w:rFonts w:ascii="仿宋_GB2312" w:hAnsi="仿宋_GB2312" w:cs="仿宋_GB2312" w:eastAsia="仿宋_GB2312"/>
              </w:rPr>
              <w:t>拟派编制主持人须具备环境影响评价工程师职业资格证书且在本单位注册。</w:t>
            </w:r>
          </w:p>
        </w:tc>
        <w:tc>
          <w:tcPr>
            <w:tcW w:type="dxa" w:w="1661"/>
          </w:tcPr>
          <w:p>
            <w:pPr>
              <w:pStyle w:val="null3"/>
            </w:pPr>
            <w:r>
              <w:rPr>
                <w:rFonts w:ascii="仿宋_GB2312" w:hAnsi="仿宋_GB2312" w:cs="仿宋_GB2312" w:eastAsia="仿宋_GB2312"/>
              </w:rPr>
              <w:t>编制主持人资格证明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1.“信用中国：未被列入失信被执行人和重大税收违法案件当事人;2.“中国政府采购网”:未被列入严重违法失信行为记录名单。）</w:t>
            </w:r>
          </w:p>
        </w:tc>
        <w:tc>
          <w:tcPr>
            <w:tcW w:type="dxa" w:w="1661"/>
          </w:tcPr>
          <w:p>
            <w:pPr>
              <w:pStyle w:val="null3"/>
            </w:pPr>
            <w:r>
              <w:rPr>
                <w:rFonts w:ascii="仿宋_GB2312" w:hAnsi="仿宋_GB2312" w:cs="仿宋_GB2312" w:eastAsia="仿宋_GB2312"/>
              </w:rPr>
              <w:t>供应商信用查询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无重大违法违规记录、无重大行政处罚、无重大安全事故的书面声明</w:t>
            </w:r>
          </w:p>
        </w:tc>
        <w:tc>
          <w:tcPr>
            <w:tcW w:type="dxa" w:w="3322"/>
          </w:tcPr>
          <w:p>
            <w:pPr>
              <w:pStyle w:val="null3"/>
            </w:pPr>
            <w:r>
              <w:rPr>
                <w:rFonts w:ascii="仿宋_GB2312" w:hAnsi="仿宋_GB2312" w:cs="仿宋_GB2312" w:eastAsia="仿宋_GB2312"/>
              </w:rPr>
              <w:t>供应商在参加本采购活动前三年内（2022年6月至提交首次响应文件截止时间止）在经营活动中无重大违法违规记录、无重大行政处罚、无重大安全事故的书面声明。</w:t>
            </w:r>
          </w:p>
        </w:tc>
        <w:tc>
          <w:tcPr>
            <w:tcW w:type="dxa" w:w="1661"/>
          </w:tcPr>
          <w:p>
            <w:pPr>
              <w:pStyle w:val="null3"/>
            </w:pPr>
            <w:r>
              <w:rPr>
                <w:rFonts w:ascii="仿宋_GB2312" w:hAnsi="仿宋_GB2312" w:cs="仿宋_GB2312" w:eastAsia="仿宋_GB2312"/>
              </w:rPr>
              <w:t>无重大违法违规记录等的声明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提供磋商保证金凭证或磋商保函</w:t>
            </w:r>
          </w:p>
        </w:tc>
        <w:tc>
          <w:tcPr>
            <w:tcW w:type="dxa" w:w="3322"/>
          </w:tcPr>
          <w:p>
            <w:pPr>
              <w:pStyle w:val="null3"/>
            </w:pPr>
            <w:r>
              <w:rPr>
                <w:rFonts w:ascii="仿宋_GB2312" w:hAnsi="仿宋_GB2312" w:cs="仿宋_GB2312" w:eastAsia="仿宋_GB2312"/>
              </w:rPr>
              <w:t>缴纳磋商保证金。</w:t>
            </w:r>
          </w:p>
        </w:tc>
        <w:tc>
          <w:tcPr>
            <w:tcW w:type="dxa" w:w="1661"/>
          </w:tcPr>
          <w:p>
            <w:pPr>
              <w:pStyle w:val="null3"/>
            </w:pPr>
            <w:r>
              <w:rPr>
                <w:rFonts w:ascii="仿宋_GB2312" w:hAnsi="仿宋_GB2312" w:cs="仿宋_GB2312" w:eastAsia="仿宋_GB2312"/>
              </w:rPr>
              <w:t>磋商保函格式 保证金缴纳凭证</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禁止围标串标</w:t>
            </w:r>
          </w:p>
        </w:tc>
        <w:tc>
          <w:tcPr>
            <w:tcW w:type="dxa" w:w="3322"/>
          </w:tcPr>
          <w:p>
            <w:pPr>
              <w:pStyle w:val="null3"/>
            </w:pPr>
            <w:r>
              <w:rPr>
                <w:rFonts w:ascii="仿宋_GB2312" w:hAnsi="仿宋_GB2312" w:cs="仿宋_GB2312" w:eastAsia="仿宋_GB2312"/>
              </w:rPr>
              <w:t>禁止磋商情形：①法定代表人或负责人为同一人或存在直接控股、管理关系的不同单位，不得同时参加本项目磋商；②与采购人存在利害关系的单位不得参加本项目磋商；③法律法规规定的其他禁止磋商情形。</w:t>
            </w:r>
          </w:p>
        </w:tc>
        <w:tc>
          <w:tcPr>
            <w:tcW w:type="dxa" w:w="1661"/>
          </w:tcPr>
          <w:p>
            <w:pPr>
              <w:pStyle w:val="null3"/>
            </w:pPr>
            <w:r>
              <w:rPr>
                <w:rFonts w:ascii="仿宋_GB2312" w:hAnsi="仿宋_GB2312" w:cs="仿宋_GB2312" w:eastAsia="仿宋_GB2312"/>
              </w:rPr>
              <w:t>禁止磋商情形承诺书 关联关系声明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提供非联合体磋商声明函</w:t>
            </w:r>
          </w:p>
        </w:tc>
        <w:tc>
          <w:tcPr>
            <w:tcW w:type="dxa" w:w="3322"/>
          </w:tcPr>
          <w:p>
            <w:pPr>
              <w:pStyle w:val="null3"/>
            </w:pPr>
            <w:r>
              <w:rPr>
                <w:rFonts w:ascii="仿宋_GB2312" w:hAnsi="仿宋_GB2312" w:cs="仿宋_GB2312" w:eastAsia="仿宋_GB2312"/>
              </w:rPr>
              <w:t>非联合体磋商。</w:t>
            </w:r>
          </w:p>
        </w:tc>
        <w:tc>
          <w:tcPr>
            <w:tcW w:type="dxa" w:w="1661"/>
          </w:tcPr>
          <w:p>
            <w:pPr>
              <w:pStyle w:val="null3"/>
            </w:pPr>
            <w:r>
              <w:rPr>
                <w:rFonts w:ascii="仿宋_GB2312" w:hAnsi="仿宋_GB2312" w:cs="仿宋_GB2312" w:eastAsia="仿宋_GB2312"/>
              </w:rPr>
              <w:t>非联合体磋商声明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磋商首次报价</w:t>
            </w:r>
          </w:p>
        </w:tc>
        <w:tc>
          <w:tcPr>
            <w:tcW w:type="dxa" w:w="3322"/>
          </w:tcPr>
          <w:p>
            <w:pPr>
              <w:pStyle w:val="null3"/>
            </w:pPr>
            <w:r>
              <w:rPr>
                <w:rFonts w:ascii="仿宋_GB2312" w:hAnsi="仿宋_GB2312" w:cs="仿宋_GB2312" w:eastAsia="仿宋_GB2312"/>
              </w:rPr>
              <w:t>磋商总报价唯一且未超过项目预算1,440,000.00元。</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自合同签订之日起5个月。</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提交首次响应文件截止之日起120日历日。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 款</w:t>
            </w:r>
          </w:p>
        </w:tc>
        <w:tc>
          <w:tcPr>
            <w:tcW w:type="dxa" w:w="3322"/>
          </w:tcPr>
          <w:p>
            <w:pPr>
              <w:pStyle w:val="null3"/>
            </w:pPr>
            <w:r>
              <w:rPr>
                <w:rFonts w:ascii="仿宋_GB2312" w:hAnsi="仿宋_GB2312" w:cs="仿宋_GB2312" w:eastAsia="仿宋_GB2312"/>
              </w:rPr>
              <w:t>双方签订合同后，达到付款条件起 7 日内，支付合同总金额的 40.00%；项目结束并验收合格，双方无异议后，达到付款条件起 7 日内，支付合同总金额的 60.00%。</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响应合同条款要求。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知识产权</w:t>
            </w:r>
          </w:p>
        </w:tc>
        <w:tc>
          <w:tcPr>
            <w:tcW w:type="dxa" w:w="3322"/>
          </w:tcPr>
          <w:p>
            <w:pPr>
              <w:pStyle w:val="null3"/>
            </w:pPr>
            <w:r>
              <w:rPr>
                <w:rFonts w:ascii="仿宋_GB2312" w:hAnsi="仿宋_GB2312" w:cs="仿宋_GB2312" w:eastAsia="仿宋_GB2312"/>
              </w:rPr>
              <w:t>①供应商应保证在本项目使用的任何产品和服务的任何一部分，不会产生因第三方提出的侵犯其专利权、商标权、著作权或其它知识产权而引起的法律和经济纠纷，由此引起的纠纷，由供应商承担所有相关责任；②本项目履行中形成的知识成果、知识产权和其他权益均归采购人所有（如设计、订购、定制开发产品等）。③供应商如欲在项目实施过程中采用自有知识成果，需在响应文件中声明，并提供相关知识产权证明文件。使用该知识成果后，供应商须提供开发接口和开发手册等技术文档，并承诺提供无限期技术支持，采购人享有永久使用权。</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磋商承诺</w:t>
            </w:r>
          </w:p>
        </w:tc>
        <w:tc>
          <w:tcPr>
            <w:tcW w:type="dxa" w:w="3322"/>
          </w:tcPr>
          <w:p>
            <w:pPr>
              <w:pStyle w:val="null3"/>
            </w:pPr>
            <w:r>
              <w:rPr>
                <w:rFonts w:ascii="仿宋_GB2312" w:hAnsi="仿宋_GB2312" w:cs="仿宋_GB2312" w:eastAsia="仿宋_GB2312"/>
              </w:rPr>
              <w:t>满足要求。</w:t>
            </w:r>
          </w:p>
        </w:tc>
        <w:tc>
          <w:tcPr>
            <w:tcW w:type="dxa" w:w="1661"/>
          </w:tcPr>
          <w:p>
            <w:pPr>
              <w:pStyle w:val="null3"/>
            </w:pPr>
            <w:r>
              <w:rPr>
                <w:rFonts w:ascii="仿宋_GB2312" w:hAnsi="仿宋_GB2312" w:cs="仿宋_GB2312" w:eastAsia="仿宋_GB2312"/>
              </w:rPr>
              <w:t>商务响应偏离表 磋商承诺</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若出现成交候选人并列情形，则依次以磋商最后报价（由低至高）、技术得分（由高到低）确定推荐。最低报价不是成交的唯一条件。</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至少包含①现状分析（2分）；②项目实施难点分析（2分）；③项目实施的重要性及必要性（2分）；④项目需求分析（2分）；⑤预期目标（2分）等，各分项根据内容完整性，专业性，针对性进行赋分（赋分规则：①完整性、专业性分别按0.6分；0.4分；0.2分；0分赋分。②针对性按0.8分；0.6分；0.4分；0.2分；0分赋分）未提供得0分，赋分时可不连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综合评审索引表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至少包含①组织机构设置（2分）；②进度计划安排（2分）；③工作方法和工作流程（2分）；④拟投设备仪器清单（2分）；⑤执行标准清单（2分）；⑥成果内容及交付标准（2分）等，各分项根据内容完整性，专业性，针对性进行赋分（赋分规则：①完整性、专业性分别按0.6分；0.4分；0.2分；0分赋分。②针对性按0.8分；0.6分；0.4分；0.2分；0分赋分）未提供得0分，赋分时可不连续。</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w:t>
            </w:r>
          </w:p>
        </w:tc>
        <w:tc>
          <w:tcPr>
            <w:tcW w:type="dxa" w:w="2492"/>
          </w:tcPr>
          <w:p>
            <w:pPr>
              <w:pStyle w:val="null3"/>
            </w:pPr>
            <w:r>
              <w:rPr>
                <w:rFonts w:ascii="仿宋_GB2312" w:hAnsi="仿宋_GB2312" w:cs="仿宋_GB2312" w:eastAsia="仿宋_GB2312"/>
              </w:rPr>
              <w:t>提供拟派团队清单（须列明：人员基本信息、岗位及对应职责、同类项目工作年限等） 1.1【10分】基础人员： ①除编制主持人外，至少2人，提供一人得3分，最高得6分； ②具备相关专业高级职称，每人加2分；具备相关专业中级职称，每人加1分；其余不加分。（若同一人具备多种职称，以最高职称计分） 1.2【6分】增加1名相关人员加2分，最高得6分。 （须提供①人员身份证、②职称/资格证明/相关专业证明、③社保或劳动合同。资料不完整不得分）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项目人员简历表</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至少包含①资料收集与分析方案（2分）；②现场调查与现状监测方案（2分）；③环境影响的预测与评价的方法（2分）；④规划方案制定的环境合理性措施方案（2分）；⑤制定环保对策与措施（2分）；⑥开展社会公众参与的计划方案（2分）；⑦报告评审论证及后续修改计划方案（2分）等。各分项根据内容完整性、专业性、针对性进行赋分（赋分规则：①完整性、专业性分别按0.6分；0.4分；0.2分；0分赋分。②针对性按0.8分；0.6分；0.4分；0.2分；0分赋分）。未提供得0分，赋分时可不连续。</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风险管理</w:t>
            </w:r>
          </w:p>
        </w:tc>
        <w:tc>
          <w:tcPr>
            <w:tcW w:type="dxa" w:w="2492"/>
          </w:tcPr>
          <w:p>
            <w:pPr>
              <w:pStyle w:val="null3"/>
            </w:pPr>
            <w:r>
              <w:rPr>
                <w:rFonts w:ascii="仿宋_GB2312" w:hAnsi="仿宋_GB2312" w:cs="仿宋_GB2312" w:eastAsia="仿宋_GB2312"/>
              </w:rPr>
              <w:t>编制或规划实施对环境可能造成的不确定因素、突发事件等制定详细预案，至少包含①风险点分析（4分）；②风险预防及控制（4分）。各分项根据内容专业性、针对性进行赋分（赋分规则：专业性、针对性分别按2分；1.6分；1.0分；0.4分；0分赋分。）未提供得0分，赋分时可不连续。</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①健全的组织管理制度（2分）；②人员奖惩考核制度（2分）；③审核流程制度（2分）；④资料管理保障措施（2分）；⑤安全、保密保障措施（2分）；⑥合理化建议（2分）等。各分项根据内容完整性、专业性、针对性进行赋分（赋分规则：①完整性、专业性分别按0.6分；0.4分；0.2分；0分赋分。②针对性按0.8分；0.6分；0.4分；0.2分；0分赋分。）未提供得0分，赋分时可不连续。</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至今类似业绩（规划环评），提供相关合同，1份得2分，最高8分，未提供或不符合要求得0分。时间以合同签订时间为准。要求：至少包含合同主页（能证明合同服务标的内容）、双方签字盖章页等，并在合同每页加盖供应商公章。若无法辨别，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技术响应偏离表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 1）磋商基准价=最低的磋商最后报价，其价格分为 20分。 2）报价得分=磋商基准价/磋商最后报价×20。 3）四舍五入，取小数点后两位，不计负分。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详见附件：供应商应提供健全的财务会计制度的证明材料</w:t>
      </w:r>
    </w:p>
    <w:p>
      <w:pPr>
        <w:pStyle w:val="null3"/>
        <w:ind w:firstLine="960"/>
      </w:pPr>
      <w:r>
        <w:rPr>
          <w:rFonts w:ascii="仿宋_GB2312" w:hAnsi="仿宋_GB2312" w:cs="仿宋_GB2312" w:eastAsia="仿宋_GB2312"/>
        </w:rPr>
        <w:t>详见附件：法定代表人资格证明</w:t>
      </w:r>
    </w:p>
    <w:p>
      <w:pPr>
        <w:pStyle w:val="null3"/>
        <w:ind w:firstLine="960"/>
      </w:pPr>
      <w:r>
        <w:rPr>
          <w:rFonts w:ascii="仿宋_GB2312" w:hAnsi="仿宋_GB2312" w:cs="仿宋_GB2312" w:eastAsia="仿宋_GB2312"/>
        </w:rPr>
        <w:t>详见附件：营业执照</w:t>
      </w:r>
    </w:p>
    <w:p>
      <w:pPr>
        <w:pStyle w:val="null3"/>
        <w:ind w:firstLine="960"/>
      </w:pPr>
      <w:r>
        <w:rPr>
          <w:rFonts w:ascii="仿宋_GB2312" w:hAnsi="仿宋_GB2312" w:cs="仿宋_GB2312" w:eastAsia="仿宋_GB2312"/>
        </w:rPr>
        <w:t>详见附件：完税证明及社保缴纳凭证</w:t>
      </w:r>
    </w:p>
    <w:p>
      <w:pPr>
        <w:pStyle w:val="null3"/>
        <w:ind w:firstLine="960"/>
      </w:pPr>
      <w:r>
        <w:rPr>
          <w:rFonts w:ascii="仿宋_GB2312" w:hAnsi="仿宋_GB2312" w:cs="仿宋_GB2312" w:eastAsia="仿宋_GB2312"/>
        </w:rPr>
        <w:t>详见附件：供应商及编制主持人资质</w:t>
      </w:r>
    </w:p>
    <w:p>
      <w:pPr>
        <w:pStyle w:val="null3"/>
        <w:ind w:firstLine="960"/>
      </w:pPr>
      <w:r>
        <w:rPr>
          <w:rFonts w:ascii="仿宋_GB2312" w:hAnsi="仿宋_GB2312" w:cs="仿宋_GB2312" w:eastAsia="仿宋_GB2312"/>
        </w:rPr>
        <w:t>详见附件：编制主持人资格证明</w:t>
      </w:r>
    </w:p>
    <w:p>
      <w:pPr>
        <w:pStyle w:val="null3"/>
        <w:ind w:firstLine="960"/>
      </w:pPr>
      <w:r>
        <w:rPr>
          <w:rFonts w:ascii="仿宋_GB2312" w:hAnsi="仿宋_GB2312" w:cs="仿宋_GB2312" w:eastAsia="仿宋_GB2312"/>
        </w:rPr>
        <w:t>详见附件：供应商信用查询</w:t>
      </w:r>
    </w:p>
    <w:p>
      <w:pPr>
        <w:pStyle w:val="null3"/>
        <w:ind w:firstLine="960"/>
      </w:pPr>
      <w:r>
        <w:rPr>
          <w:rFonts w:ascii="仿宋_GB2312" w:hAnsi="仿宋_GB2312" w:cs="仿宋_GB2312" w:eastAsia="仿宋_GB2312"/>
        </w:rPr>
        <w:t>详见附件：无重大违法违规记录等的声明</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详见附件：磋商保函格式</w:t>
      </w:r>
    </w:p>
    <w:p>
      <w:pPr>
        <w:pStyle w:val="null3"/>
        <w:ind w:firstLine="960"/>
      </w:pPr>
      <w:r>
        <w:rPr>
          <w:rFonts w:ascii="仿宋_GB2312" w:hAnsi="仿宋_GB2312" w:cs="仿宋_GB2312" w:eastAsia="仿宋_GB2312"/>
        </w:rPr>
        <w:t>详见附件：关联关系声明</w:t>
      </w:r>
    </w:p>
    <w:p>
      <w:pPr>
        <w:pStyle w:val="null3"/>
        <w:ind w:firstLine="960"/>
      </w:pPr>
      <w:r>
        <w:rPr>
          <w:rFonts w:ascii="仿宋_GB2312" w:hAnsi="仿宋_GB2312" w:cs="仿宋_GB2312" w:eastAsia="仿宋_GB2312"/>
        </w:rPr>
        <w:t>详见附件：禁止磋商情形承诺书</w:t>
      </w:r>
    </w:p>
    <w:p>
      <w:pPr>
        <w:pStyle w:val="null3"/>
        <w:ind w:firstLine="960"/>
      </w:pPr>
      <w:r>
        <w:rPr>
          <w:rFonts w:ascii="仿宋_GB2312" w:hAnsi="仿宋_GB2312" w:cs="仿宋_GB2312" w:eastAsia="仿宋_GB2312"/>
        </w:rPr>
        <w:t>详见附件：非联合体磋商声明</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详见附件：磋商承诺</w:t>
      </w:r>
    </w:p>
    <w:p>
      <w:pPr>
        <w:pStyle w:val="null3"/>
        <w:ind w:firstLine="960"/>
      </w:pPr>
      <w:r>
        <w:rPr>
          <w:rFonts w:ascii="仿宋_GB2312" w:hAnsi="仿宋_GB2312" w:cs="仿宋_GB2312" w:eastAsia="仿宋_GB2312"/>
        </w:rPr>
        <w:t>详见附件：综合评审索引表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详见附件：项目人员简历表</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详见附件：技术响应偏离表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