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3E5CC">
      <w:pPr>
        <w:snapToGrid w:val="0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4261865D">
      <w:pPr>
        <w:pStyle w:val="2"/>
        <w:ind w:left="0" w:leftChars="0" w:firstLine="0" w:firstLineChars="0"/>
        <w:rPr>
          <w:rFonts w:hint="eastAsia" w:ascii="仿宋" w:hAnsi="仿宋" w:eastAsia="仿宋" w:cs="仿宋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采购包2：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电动自行车及主要配件产品质量监督抽检项目</w:t>
      </w:r>
    </w:p>
    <w:tbl>
      <w:tblPr>
        <w:tblStyle w:val="8"/>
        <w:tblW w:w="5081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1"/>
        <w:gridCol w:w="2878"/>
        <w:gridCol w:w="931"/>
        <w:gridCol w:w="870"/>
        <w:gridCol w:w="2149"/>
        <w:gridCol w:w="1118"/>
      </w:tblGrid>
      <w:tr w14:paraId="05A15F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0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54F787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72E7140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059661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1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B461EF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D0827A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D2757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0973053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3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3AACBD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A4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电动自行车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8DA3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A13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0B243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61196F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02605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3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FC74C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D079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电动自行车电池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8A59C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4209CE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55519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9E28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2BF079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3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42F516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1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B72E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/>
              </w:rPr>
              <w:t>电动自行车充电器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C3C097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00397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2EFED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D4B58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6E1FC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3" w:hRule="atLeast"/>
          <w:jc w:val="center"/>
        </w:trPr>
        <w:tc>
          <w:tcPr>
            <w:tcW w:w="307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215475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F4023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D8DD3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11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0686B9C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75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59D2A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上述报价应包括完成本项目所需的全部费用。</w:t>
            </w:r>
          </w:p>
          <w:p w14:paraId="4F8DCCA4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1C7690F7">
            <w:pPr>
              <w:pStyle w:val="7"/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电动自行车产品质量检测：4130元/批次；电动自行车电池产品质量检测：2140元/批次；电动自行车充电器产品质量检测：1960元/批次。</w:t>
            </w:r>
          </w:p>
        </w:tc>
      </w:tr>
    </w:tbl>
    <w:p w14:paraId="63A018D4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295F07FE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6C1D390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  <w:bookmarkStart w:id="0" w:name="_GoBack"/>
      <w:bookmarkEnd w:id="0"/>
    </w:p>
    <w:p w14:paraId="32A15272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226ED8EC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6FEBEE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F423E"/>
    <w:rsid w:val="33281ECE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spacing w:line="240" w:lineRule="auto"/>
      <w:ind w:left="0" w:leftChars="0"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298</Characters>
  <Lines>0</Lines>
  <Paragraphs>0</Paragraphs>
  <TotalTime>0</TotalTime>
  <ScaleCrop>false</ScaleCrop>
  <LinksUpToDate>false</LinksUpToDate>
  <CharactersWithSpaces>353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2025-06-27T09:51:31Z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