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版本号：ZCSP-渭南市-2025-00417、XHLJZC-WN2025-05620250605002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API共享数据管理平台建设项目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ZCSP-渭南市-2025-00417、XHLJZC-WN2025-056</w:t>
      </w:r>
      <w:r>
        <w:br/>
      </w:r>
      <w:r>
        <w:br/>
      </w:r>
      <w:r>
        <w:br/>
      </w:r>
    </w:p>
    <w:p>
      <w:pPr>
        <w:pStyle w:val="null3"/>
        <w:jc w:val="center"/>
        <w:outlineLvl w:val="2"/>
      </w:pPr>
      <w:r>
        <w:rPr>
          <w:rFonts w:ascii="仿宋_GB2312" w:hAnsi="仿宋_GB2312" w:cs="仿宋_GB2312" w:eastAsia="仿宋_GB2312"/>
          <w:sz w:val="28"/>
          <w:b/>
        </w:rPr>
        <w:t>渭南市住房公积金管理中心</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渭南市住房公积金管理中心</w:t>
      </w:r>
      <w:r>
        <w:rPr>
          <w:rFonts w:ascii="仿宋_GB2312" w:hAnsi="仿宋_GB2312" w:cs="仿宋_GB2312" w:eastAsia="仿宋_GB2312"/>
        </w:rPr>
        <w:t>委托，拟对</w:t>
      </w:r>
      <w:r>
        <w:rPr>
          <w:rFonts w:ascii="仿宋_GB2312" w:hAnsi="仿宋_GB2312" w:cs="仿宋_GB2312" w:eastAsia="仿宋_GB2312"/>
        </w:rPr>
        <w:t>API共享数据管理平台建设项目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ZCSP-渭南市-2025-00417、XHLJZC-WN2025-056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API共享数据管理平台建设项目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API共享数据管理平台建设，详见磋商文件。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采购包1（渭南市住房公积金管理中心API共享数据管理平台建设项目）：属于专门面向中小企业采购。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1、具有独立承担民事责任的能力：具有独立承担民事责任的能力且具备向采购人提供相关服务的企业法人、其他组织,企业法人应提供统一社会信用代码的营业执照；其他组织应提供合法证明文件。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3、具有良好的商业信誉和健全的财务会计制度：提供2023年度经审计的财务报告或开标前六个月内其基本账户银行出具的资信证明或财政部门认可的政府采购专业担保机构出具的担保函。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8、声明函：提供《中小企业声明函》；供应商为监狱企业的，应提供监狱企业相关资格证明材料；供应商为残疾人福利性单位的，应提供《残疾人福利性单位声明函》。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渭南市住房公积金管理中心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渭南市三贤路北段市民综合服务中心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0913-2933199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赵温馨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029-82528801、029-89183511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渭南市住房公积金管理中心</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渭南市住房公积金管理中心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渭南市住房公积金管理中心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联系人：赵温馨</w:t>
      </w:r>
    </w:p>
    <w:p>
      <w:pPr>
        <w:pStyle w:val="null3"/>
      </w:pPr>
      <w:r>
        <w:rPr>
          <w:rFonts w:ascii="仿宋_GB2312" w:hAnsi="仿宋_GB2312" w:cs="仿宋_GB2312" w:eastAsia="仿宋_GB2312"/>
        </w:rPr>
        <w:t>联系电话：029-82528801、029-89183511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API共享数据管理平台建设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API共享数据管理平台建设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标的名称：API共享数据管理平台建设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一、项目背景</w:t>
            </w:r>
          </w:p>
          <w:p>
            <w:pPr>
              <w:pStyle w:val="null3"/>
              <w:ind w:firstLine="480"/>
              <w:jc w:val="both"/>
            </w:pPr>
            <w:r>
              <w:rPr>
                <w:rFonts w:ascii="仿宋_GB2312" w:hAnsi="仿宋_GB2312" w:cs="仿宋_GB2312" w:eastAsia="仿宋_GB2312"/>
                <w:sz w:val="24"/>
              </w:rPr>
              <w:t>住建部《关于加快住房公积金数字化发展的指导意见》中明确提出健全共享利用数据资源体系，建立数据共享机制，以应用场景为牵引，拓展数据共享范围，动态更新数据共享接口标准，做好系统对接，深化与有关职能部门、机构的业务合作，形成横向联动的数据共享通道。以数据共享驱动业务办理方式创新，提高管理运行效能。</w:t>
            </w:r>
          </w:p>
          <w:p>
            <w:pPr>
              <w:pStyle w:val="null3"/>
              <w:jc w:val="both"/>
            </w:pPr>
            <w:r>
              <w:rPr>
                <w:rFonts w:ascii="仿宋_GB2312" w:hAnsi="仿宋_GB2312" w:cs="仿宋_GB2312" w:eastAsia="仿宋_GB2312"/>
                <w:sz w:val="24"/>
              </w:rPr>
              <w:t>二、主要建设内容</w:t>
            </w:r>
          </w:p>
          <w:p>
            <w:pPr>
              <w:pStyle w:val="null3"/>
              <w:ind w:firstLine="480"/>
              <w:jc w:val="both"/>
            </w:pPr>
            <w:r>
              <w:rPr>
                <w:rFonts w:ascii="仿宋_GB2312" w:hAnsi="仿宋_GB2312" w:cs="仿宋_GB2312" w:eastAsia="仿宋_GB2312"/>
                <w:sz w:val="24"/>
              </w:rPr>
              <w:t>共享数据接口平台建立的目标是将中心对内对外接口类的共享数据接口全部纳入平台管理，面对数据交换、汇集、处理，内置多种组件，容纳多种数据格式，提供丰富数据处理与交换任务，提供可视化数据交换监控，建立统一、安全、高效的全局数据共享交换平台。通过已接入的接口和将接入的接口，对元数据管理、数据质量清洗，灵活匹配业务实际所需场景。</w:t>
            </w:r>
          </w:p>
          <w:p>
            <w:pPr>
              <w:pStyle w:val="null3"/>
              <w:ind w:firstLine="480"/>
              <w:jc w:val="both"/>
            </w:pPr>
            <w:r>
              <w:rPr>
                <w:rFonts w:ascii="仿宋_GB2312" w:hAnsi="仿宋_GB2312" w:cs="仿宋_GB2312" w:eastAsia="仿宋_GB2312"/>
                <w:sz w:val="24"/>
              </w:rPr>
              <w:t>建立业务场景及数据来源维度资源目录，对可用资源和可提供资源进行分类管理，形成中心共享数据资源目录。</w:t>
            </w:r>
          </w:p>
          <w:p>
            <w:pPr>
              <w:pStyle w:val="null3"/>
              <w:ind w:firstLine="480"/>
              <w:jc w:val="both"/>
            </w:pPr>
            <w:r>
              <w:rPr>
                <w:rFonts w:ascii="仿宋_GB2312" w:hAnsi="仿宋_GB2312" w:cs="仿宋_GB2312" w:eastAsia="仿宋_GB2312"/>
                <w:sz w:val="24"/>
              </w:rPr>
              <w:t>接口</w:t>
            </w:r>
            <w:r>
              <w:rPr>
                <w:rFonts w:ascii="仿宋_GB2312" w:hAnsi="仿宋_GB2312" w:cs="仿宋_GB2312" w:eastAsia="仿宋_GB2312"/>
                <w:sz w:val="24"/>
              </w:rPr>
              <w:t>对接</w:t>
            </w:r>
            <w:r>
              <w:rPr>
                <w:rFonts w:ascii="仿宋_GB2312" w:hAnsi="仿宋_GB2312" w:cs="仿宋_GB2312" w:eastAsia="仿宋_GB2312"/>
                <w:sz w:val="24"/>
              </w:rPr>
              <w:t>，以</w:t>
            </w:r>
            <w:r>
              <w:rPr>
                <w:rFonts w:ascii="仿宋_GB2312" w:hAnsi="仿宋_GB2312" w:cs="仿宋_GB2312" w:eastAsia="仿宋_GB2312"/>
                <w:sz w:val="24"/>
              </w:rPr>
              <w:t>“高效办成一件事”、数据治理相关文件要求，汇聚中心内部接口，对外提供公积金查功能；</w:t>
            </w:r>
            <w:r>
              <w:rPr>
                <w:rFonts w:ascii="仿宋_GB2312" w:hAnsi="仿宋_GB2312" w:cs="仿宋_GB2312" w:eastAsia="仿宋_GB2312"/>
                <w:sz w:val="24"/>
              </w:rPr>
              <w:t>接入住建部共享数据平台相关接口；</w:t>
            </w:r>
            <w:r>
              <w:rPr>
                <w:rFonts w:ascii="仿宋_GB2312" w:hAnsi="仿宋_GB2312" w:cs="仿宋_GB2312" w:eastAsia="仿宋_GB2312"/>
                <w:sz w:val="24"/>
              </w:rPr>
              <w:t>接入</w:t>
            </w:r>
            <w:r>
              <w:rPr>
                <w:rFonts w:ascii="仿宋_GB2312" w:hAnsi="仿宋_GB2312" w:cs="仿宋_GB2312" w:eastAsia="仿宋_GB2312"/>
                <w:sz w:val="24"/>
              </w:rPr>
              <w:t>陕西省政务平台</w:t>
            </w:r>
            <w:r>
              <w:rPr>
                <w:rFonts w:ascii="仿宋_GB2312" w:hAnsi="仿宋_GB2312" w:cs="仿宋_GB2312" w:eastAsia="仿宋_GB2312"/>
                <w:sz w:val="24"/>
              </w:rPr>
              <w:t>不动产、人社、市监、</w:t>
            </w:r>
            <w:r>
              <w:rPr>
                <w:rFonts w:ascii="仿宋_GB2312" w:hAnsi="仿宋_GB2312" w:cs="仿宋_GB2312" w:eastAsia="仿宋_GB2312"/>
                <w:sz w:val="24"/>
              </w:rPr>
              <w:t>住建、税务以及商业银行</w:t>
            </w:r>
            <w:r>
              <w:rPr>
                <w:rFonts w:ascii="仿宋_GB2312" w:hAnsi="仿宋_GB2312" w:cs="仿宋_GB2312" w:eastAsia="仿宋_GB2312"/>
                <w:sz w:val="24"/>
              </w:rPr>
              <w:t>等外部数据，供中心内部业务协查调用。</w:t>
            </w:r>
          </w:p>
          <w:p>
            <w:pPr>
              <w:pStyle w:val="null3"/>
              <w:ind w:firstLine="480"/>
              <w:jc w:val="both"/>
            </w:pPr>
            <w:r>
              <w:rPr>
                <w:rFonts w:ascii="仿宋_GB2312" w:hAnsi="仿宋_GB2312" w:cs="仿宋_GB2312" w:eastAsia="仿宋_GB2312"/>
                <w:sz w:val="24"/>
              </w:rPr>
              <w:t>接口授权管理，提供对中心内部系统，外部系统对接加密方式、秘钥、</w:t>
            </w:r>
            <w:r>
              <w:rPr>
                <w:rFonts w:ascii="仿宋_GB2312" w:hAnsi="仿宋_GB2312" w:cs="仿宋_GB2312" w:eastAsia="仿宋_GB2312"/>
                <w:sz w:val="24"/>
              </w:rPr>
              <w:t>IP地址维护功能，对数据调用权限、规则进行控制，确保数据共享安全。</w:t>
            </w:r>
          </w:p>
          <w:p>
            <w:pPr>
              <w:pStyle w:val="null3"/>
              <w:ind w:firstLine="480"/>
              <w:jc w:val="both"/>
            </w:pPr>
            <w:r>
              <w:rPr>
                <w:rFonts w:ascii="仿宋_GB2312" w:hAnsi="仿宋_GB2312" w:cs="仿宋_GB2312" w:eastAsia="仿宋_GB2312"/>
                <w:sz w:val="24"/>
              </w:rPr>
              <w:t>12329短信功能接入，通过共享数据接口平台实现与12329短信平台对接，对短信业务进行管理、统计，并支持短信模板自定义功能。</w:t>
            </w:r>
          </w:p>
          <w:p>
            <w:pPr>
              <w:pStyle w:val="null3"/>
              <w:ind w:firstLine="480"/>
              <w:jc w:val="both"/>
            </w:pPr>
            <w:r>
              <w:rPr>
                <w:rFonts w:ascii="仿宋_GB2312" w:hAnsi="仿宋_GB2312" w:cs="仿宋_GB2312" w:eastAsia="仿宋_GB2312"/>
                <w:sz w:val="24"/>
              </w:rPr>
              <w:t>接口运行监控，以可视化实时展示接口状态、接口调用情况、接口预警情况。</w:t>
            </w:r>
          </w:p>
          <w:p>
            <w:pPr>
              <w:pStyle w:val="null3"/>
              <w:ind w:firstLine="480"/>
              <w:jc w:val="both"/>
            </w:pPr>
            <w:r>
              <w:rPr>
                <w:rFonts w:ascii="仿宋_GB2312" w:hAnsi="仿宋_GB2312" w:cs="仿宋_GB2312" w:eastAsia="仿宋_GB2312"/>
                <w:sz w:val="24"/>
              </w:rPr>
              <w:t>统计报表功能，对接口调用情况按照不同维度、时间周期生成统计报表，支持报表导出功能。</w:t>
            </w:r>
          </w:p>
          <w:p>
            <w:pPr>
              <w:pStyle w:val="null3"/>
              <w:jc w:val="both"/>
            </w:pPr>
            <w:r>
              <w:rPr>
                <w:rFonts w:ascii="仿宋_GB2312" w:hAnsi="仿宋_GB2312" w:cs="仿宋_GB2312" w:eastAsia="仿宋_GB2312"/>
                <w:sz w:val="24"/>
              </w:rPr>
              <w:t>三、技术要求</w:t>
            </w:r>
          </w:p>
          <w:tbl>
            <w:tblPr>
              <w:tblInd w:type="dxa" w:w="90"/>
              <w:tblBorders>
                <w:top w:val="none" w:color="000000" w:sz="4"/>
                <w:left w:val="none" w:color="000000" w:sz="4"/>
                <w:bottom w:val="none" w:color="000000" w:sz="4"/>
                <w:right w:val="none" w:color="000000" w:sz="4"/>
                <w:insideH w:val="none"/>
                <w:insideV w:val="none"/>
              </w:tblBorders>
            </w:tblPr>
            <w:tblGrid>
              <w:gridCol w:w="126"/>
              <w:gridCol w:w="278"/>
              <w:gridCol w:w="375"/>
              <w:gridCol w:w="1768"/>
            </w:tblGrid>
            <w:tr>
              <w:tc>
                <w:tcPr>
                  <w:tcW w:type="dxa" w:w="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功能</w:t>
                  </w:r>
                </w:p>
              </w:tc>
              <w:tc>
                <w:tcPr>
                  <w:tcW w:type="dxa" w:w="3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子功能</w:t>
                  </w:r>
                </w:p>
              </w:tc>
              <w:tc>
                <w:tcPr>
                  <w:tcW w:type="dxa" w:w="17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参数</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首页</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首页</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首页支持对接口管理平台中的大屏设置轮播规则，设置大屏的播放切换时间。</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vMerge/>
                  <w:tcBorders>
                    <w:top w:val="none" w:color="000000" w:sz="4"/>
                    <w:left w:val="none" w:color="000000" w:sz="4"/>
                    <w:bottom w:val="single" w:color="000000" w:sz="4"/>
                    <w:right w:val="single" w:color="000000" w:sz="4"/>
                  </w:tcBorders>
                </w:tcP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接口调用情况</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接口调用情况大屏需要支持统计今日调用次数、累计调用次数、近</w:t>
                  </w:r>
                  <w:r>
                    <w:rPr>
                      <w:rFonts w:ascii="仿宋_GB2312" w:hAnsi="仿宋_GB2312" w:cs="仿宋_GB2312" w:eastAsia="仿宋_GB2312"/>
                      <w:sz w:val="24"/>
                      <w:color w:val="000000"/>
                    </w:rPr>
                    <w:t>30日接口调用次数趋势、调用次数分类、接口接入数量、接口共享数量、接口调用总量排名、应用平台接口调用次数排名、用户调用接口次数排名等数据。</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78"/>
                  <w:vMerge/>
                  <w:tcBorders>
                    <w:top w:val="none" w:color="000000" w:sz="4"/>
                    <w:left w:val="none" w:color="000000" w:sz="4"/>
                    <w:bottom w:val="single" w:color="000000" w:sz="4"/>
                    <w:right w:val="single" w:color="000000" w:sz="4"/>
                  </w:tcBorders>
                </w:tcP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接口预警情况</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接口预警情况大屏需要支持统计接口异常占比、接口预警分类、预警占比、今日预警次数、累计预警里程数、今日接口预警情况、近</w:t>
                  </w:r>
                  <w:r>
                    <w:rPr>
                      <w:rFonts w:ascii="仿宋_GB2312" w:hAnsi="仿宋_GB2312" w:cs="仿宋_GB2312" w:eastAsia="仿宋_GB2312"/>
                      <w:sz w:val="24"/>
                      <w:color w:val="000000"/>
                    </w:rPr>
                    <w:t>7天接口预警趋势、接口响应超时次数排名、应用平台高频请求排名等数据。</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78"/>
                  <w:vMerge/>
                  <w:tcBorders>
                    <w:top w:val="none" w:color="000000" w:sz="4"/>
                    <w:left w:val="none" w:color="000000" w:sz="4"/>
                    <w:bottom w:val="single" w:color="000000" w:sz="4"/>
                    <w:right w:val="single" w:color="000000" w:sz="4"/>
                  </w:tcBorders>
                </w:tcP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接口实时监测</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接口实时监测大屏对接口状态进行实时监测，展示接口的名称、状态、今日请求次数、累计请求次数、今日告警次数、累计告警次数、提供方名称、查询方式、共享方式、异常时间等信息。</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78"/>
                  <w:vMerge/>
                  <w:tcBorders>
                    <w:top w:val="none" w:color="000000" w:sz="4"/>
                    <w:left w:val="none" w:color="000000" w:sz="4"/>
                    <w:bottom w:val="single" w:color="000000" w:sz="4"/>
                    <w:right w:val="single" w:color="000000" w:sz="4"/>
                  </w:tcBorders>
                </w:tcP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短信统计情况</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短信统计情况大屏支持统计短信模板数量、今日发送条数、本月发送条数、本年发送条数、累计发送条数、发送条数按所属系统分类、发送条数按短信模板分类、本月发送量排名、本月短信发送趋势、本年短信发送统计、今日短信发送情况等数据。</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接口服务管理</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接口服务定义</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接口服务定义需要支持设置接口的查询方式、共享方式等内容。</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78"/>
                  <w:vMerge/>
                  <w:tcBorders>
                    <w:top w:val="none" w:color="000000" w:sz="4"/>
                    <w:left w:val="none" w:color="000000" w:sz="4"/>
                    <w:bottom w:val="single" w:color="000000" w:sz="4"/>
                    <w:right w:val="single" w:color="000000" w:sz="4"/>
                  </w:tcBorders>
                </w:tcP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短信模板管理</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短信模板管理需要支持对对短信模板进行新增、编辑和删除，新增短信模板需要维护短信模板名称、短信模板的唯一标识符、发送渠道等内容。</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78"/>
                  <w:vMerge/>
                  <w:tcBorders>
                    <w:top w:val="none" w:color="000000" w:sz="4"/>
                    <w:left w:val="none" w:color="000000" w:sz="4"/>
                    <w:bottom w:val="single" w:color="000000" w:sz="4"/>
                    <w:right w:val="single" w:color="000000" w:sz="4"/>
                  </w:tcBorders>
                </w:tcP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短信发送管理</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短信发送管理需要支持自定义短信内容，对短信接口人进行增加、编辑和删除，同时支持以导入文件的形式发送。</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共享接口查询</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业务场景查询</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需要支持平台用户对接口管理平台中的业务场景进行查询。</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授权管理</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应用平台管理</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接口管理平台需要支持对第三方应用平台进行管理，控制授权方式、管理授权接口和授权的业务场景，同时需要支持对第三方平台进行新增、编辑和删除。</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数据资源目录</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业务场景定义</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接口管平台需要支持对业务场景进行自定义，支持新增业务场景，对业务场景进行编辑和删除，支持向业务场景中关联接口，自定义返回结果。</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统计报表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接口调用统计（用户维度）</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接口管理平台需要支持按照用户维度统计用户调用每个接口的次数，支持按照时间筛选。</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78"/>
                  <w:vMerge/>
                  <w:tcBorders>
                    <w:top w:val="none" w:color="000000" w:sz="4"/>
                    <w:left w:val="none" w:color="000000" w:sz="4"/>
                    <w:bottom w:val="single" w:color="000000" w:sz="4"/>
                    <w:right w:val="single" w:color="000000" w:sz="4"/>
                  </w:tcBorders>
                </w:tcP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接口调用统计</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接口管理平台需要支持按照接口维度统计每个接口被调用的次数，支持按照时间筛选。</w:t>
                  </w:r>
                </w:p>
              </w:tc>
            </w:tr>
          </w:tbl>
          <w:p>
            <w:pPr>
              <w:pStyle w:val="null3"/>
              <w:jc w:val="both"/>
            </w:pPr>
            <w:r>
              <w:rPr>
                <w:rFonts w:ascii="仿宋_GB2312" w:hAnsi="仿宋_GB2312" w:cs="仿宋_GB2312" w:eastAsia="仿宋_GB2312"/>
                <w:sz w:val="24"/>
              </w:rPr>
              <w:t>四、</w:t>
            </w:r>
            <w:r>
              <w:rPr>
                <w:rFonts w:ascii="仿宋_GB2312" w:hAnsi="仿宋_GB2312" w:cs="仿宋_GB2312" w:eastAsia="仿宋_GB2312"/>
                <w:sz w:val="24"/>
              </w:rPr>
              <w:t>试运行</w:t>
            </w:r>
          </w:p>
          <w:p>
            <w:pPr>
              <w:pStyle w:val="null3"/>
            </w:pPr>
            <w:r>
              <w:rPr>
                <w:rFonts w:ascii="仿宋_GB2312" w:hAnsi="仿宋_GB2312" w:cs="仿宋_GB2312" w:eastAsia="仿宋_GB2312"/>
                <w:sz w:val="24"/>
                <w:color w:val="000000"/>
              </w:rPr>
              <w:t>试运行的期限为两个月，自采购人向供应商签收之日起计算。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建设期限：合同签订之日起60日历日；服务期限：试运行两个月无问题经验收合格后一年。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渭南市住房公积金管理中心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完成平台建设、调试，试运行两个月验收合格后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经验收合格服务期满一年后，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质保期：验收合格之日起提供一年质保</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具有独立承担民事责任的能力且具备向采购人提供相关服务的企业法人、其他组织,企业法人应提供统一社会信用代码的营业执照；其他组织应提供合法证明文件。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磋商保证金缴纳凭证及退还申请表 商务要求响应表 响应文件封面 政府采购供应商拒绝政府采购领域商业贿赂承诺书 磋商方案说明 残疾人福利性单位声明函 供应商资格声明文件 标的清单 供应商承诺书 响应函 业绩证明文件 供应商资格证明文件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（1）报价未超过本项目最高限价 （2）未出现选择性报价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磋商方案说明 技术要求响应表 商务要求响应表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w:t>
            </w:r>
          </w:p>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1、评审内容 供应商提供针对本项目的总体实施方案，内容包括： ①项目计划安排； ②项目质量保障； ③项目风险管控。 2、评审标准 ①完整性：方案须全面，对评审内容中的各项要求有详细描述及说明； ②可实施性：切合本项目实际情况，实施步骤清晰、合理； ③针对性：方案能够紧扣项目实际情况，内容科学合理。 3、赋分标准 ①项目计划安排：每满足一项评审标准得1分，满分3分； ②项目质量保障：每满足一项评审标准得1分，满分3分； ③项目风险管控：每满足一项评审标准得1分，满分3分。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1、评审内容 供应商提供针对本项目的技术服务方案，内容包括： ①对采购需求及系统现状分析； ②项目建设方案； ③所投系统技术指标及相关资料。 2、评审标准 ①完整性：方案内容全面，对评审内容中的各项要求有详细描述及说明； ②可实施性：方案科学合理，可操作性强； ③针对性：方案能紧扣本项目实际情况，满足本项目各项具体要求。 3、赋分标准 ①对采购需求及系统现状分析：每满足一项评审标准得1分，满分3分； ②项目建设方案：每满足一项评审标准得1分，满分3分； ③所投系统技术指标及相关资料：每满足一项评审标准得1分，满分3分。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1、具备相关专业高级职称，得2分；具备相关专业中级职称，得1分，未提供不得分。 2、至响应文件递交截止日前，担任过1个相关专业项目的项目负责人，得1分；每增加1个加1分，最多加3分。未提供不得分。 注： （1）提供近1年内1个月单位缴纳社保的证明； （2）提供相关专业项目合同，附合同复印件加盖公章。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工作人员组成情况</w:t>
            </w:r>
          </w:p>
        </w:tc>
        <w:tc>
          <w:tcPr>
            <w:tcW w:type="dxa" w:w="2492"/>
          </w:tcPr>
          <w:p>
            <w:pPr>
              <w:pStyle w:val="null3"/>
            </w:pPr>
            <w:r>
              <w:rPr>
                <w:rFonts w:ascii="仿宋_GB2312" w:hAnsi="仿宋_GB2312" w:cs="仿宋_GB2312" w:eastAsia="仿宋_GB2312"/>
              </w:rPr>
              <w:t>1、评审内容 供应商提供拟派本项目工作人员组成情况（有具体成员名单，包括姓名、工作经验、工作职责、联系方式等）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1、评审内容 提供针对本项目的重点难点分析及应对措施。 2、评审标准 ①完整性：重点难点分析及应对措施须全面，对评审内容中的各项要求有详细描述及说明； ②可实施性：切合本项目实际情况，实施步骤清晰、合理； ③针对性：重点难点分析及应对措施能够紧扣项目实际情况，内容科学合理。 3、赋分标准 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②保密承诺； ③服务体系及响应时间。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①服务质量承诺：每满足一项评审标准得1分，满分3分； ②保密承诺：每满足一项评审标准得1分，满分3分； ③服务体系及响应时间：每满足一项评审标准得1分，满分3分。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供应商根据本项目涉及系统操作的实际需求提供培训方案，内容包括： ①培训计划； ②培训方式及内容。 2、评审标准 ①完整性：方案须全面，对评审内容中的各项要求有详细描述及说明； ②可实施性：切合本项目实际情况，步骤清晰、合理，操作性强； ③针对性：方案能够紧扣项目实际情况，内容科学合理。 3、赋分标准 ①培训计划：每满足一项评审标准得1分，满分3分； ②培训方式及内容：每满足一项评审标准得1分，满分3分。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提供2022年1月1日以来供应商类似项目的业绩合同（以合同签订日期为准），附业绩合同复印件加盖公章，每份3分，满分12分；未提供不计分。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详见附件：磋商方案说明</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详见附件：磋商保证金缴纳凭证及退还申请表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