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版本号：ZCSP-渭南市-2025-00451.1B120250627001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卫生健康委员会基层中医药服务能力提升项目(二次)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ZCSP-渭南市-2025-00451.1B1</w:t>
      </w:r>
      <w:r>
        <w:br/>
      </w:r>
      <w:r>
        <w:br/>
      </w:r>
      <w:r>
        <w:br/>
      </w:r>
    </w:p>
    <w:p>
      <w:pPr>
        <w:pStyle w:val="null3"/>
        <w:jc w:val="center"/>
        <w:outlineLvl w:val="2"/>
      </w:pPr>
      <w:r>
        <w:rPr>
          <w:rFonts w:ascii="仿宋_GB2312" w:hAnsi="仿宋_GB2312" w:cs="仿宋_GB2312" w:eastAsia="仿宋_GB2312"/>
          <w:sz w:val="28"/>
          <w:b/>
        </w:rPr>
        <w:t>渭南市卫生健康委员会</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渭南市卫生健康委员会</w:t>
      </w:r>
      <w:r>
        <w:rPr>
          <w:rFonts w:ascii="仿宋_GB2312" w:hAnsi="仿宋_GB2312" w:cs="仿宋_GB2312" w:eastAsia="仿宋_GB2312"/>
        </w:rPr>
        <w:t>委托，拟对</w:t>
      </w:r>
      <w:r>
        <w:rPr>
          <w:rFonts w:ascii="仿宋_GB2312" w:hAnsi="仿宋_GB2312" w:cs="仿宋_GB2312" w:eastAsia="仿宋_GB2312"/>
        </w:rPr>
        <w:t>卫生健康委员会基层中医药服务能力提升项目(二次)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ZCSP-渭南市-2025-00451.1B1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卫生健康委员会基层中医药服务能力提升项目(二次)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渭南市1828名村卫生室卫生技术人员进行中医药知识与技能培训，培训内容涉及中医诊断，中医内、外、妇、儿等基层常见病症的中医治疗及针灸推拿康复理疗和其他疗法等。培训单位能够承担培训教学、考核任务和培训人员食宿及管理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采购包1（渭南市卫生健康委员会基层中医药服务能力提升项目）：属于专门面向中小企业采购。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须提供合法注册的法人或其他组织的营业执照等证明文件，自然人须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供应商应授权合法的人员参加磋商全过程，其中法定代表人直接参加的，须出具法定代表人身份证，并与营业执照上信息一致。法定代表人授权代表参加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3、税收缴纳证明：提供开标前一年内任意一个月依法缴纳税收的相关凭据（时间以税款所属日期为准、税种须包含增值税或企业所得税），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4、社会保障资金缴纳证明：提供开标前一年内任意一个月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5、财务状况报告：提供 2024年度经审计的财务会计报告或其磋商前六个月内银行出具的资信证明（以上两种形式的资料提供任何一种即可）；供应商需在项目电子化交易系统中按要求上传相应证明文件，并进行电子签章。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6、参与采购活动前三年内在经营活动中没有重大违法记录的书面声明：提供开标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7、非联合体不分包磋商声明：按要求上传非联合体不分包磋商声明，并进行电子签章。</w:t>
      </w:r>
    </w:p>
    <w:p>
      <w:pPr>
        <w:pStyle w:val="null3"/>
      </w:pPr>
      <w:r>
        <w:rPr>
          <w:rFonts w:ascii="仿宋_GB2312" w:hAnsi="仿宋_GB2312" w:cs="仿宋_GB2312" w:eastAsia="仿宋_GB2312"/>
        </w:rPr>
        <w:t>8、信用记录：按要求上传信用记录书面声明函，并进行电子签章。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渭南市卫生健康委员会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市民综合服务中心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渭南市卫生健康委员会经办王静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18609130165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渭南市卫生健康委员会</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渭南市卫生健康委员会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渭南市卫生健康委员会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一、验收方式 人员培训考核合格并授予培训合格证书。 二、验收标准 1.基层卫生技术人员运用中医药诊疗知识和技能水平全面提高，发挥中医药在常见病、多发病、慢性病防治以及疾病康复治疗中的作用。 2.进一步夯实基层中医药人才队伍，提升基层医疗卫生机构中医药服务能力； 3.着力健全基层中医药服务网络，全面提升基层中医药在治未病、医疗、康复、公共卫生、健康教育等领域的服务能力； 4.持续提高基层中医药服务的可及性、便捷性、公平性。</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渭南市卫生健康委员会</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联系人：王静</w:t>
      </w:r>
    </w:p>
    <w:p>
      <w:pPr>
        <w:pStyle w:val="null3"/>
      </w:pPr>
      <w:r>
        <w:rPr>
          <w:rFonts w:ascii="仿宋_GB2312" w:hAnsi="仿宋_GB2312" w:cs="仿宋_GB2312" w:eastAsia="仿宋_GB2312"/>
        </w:rPr>
        <w:t>联系电话：18609130165</w:t>
      </w:r>
    </w:p>
    <w:p>
      <w:pPr>
        <w:pStyle w:val="null3"/>
      </w:pPr>
      <w:r>
        <w:rPr>
          <w:rFonts w:ascii="仿宋_GB2312" w:hAnsi="仿宋_GB2312" w:cs="仿宋_GB2312" w:eastAsia="仿宋_GB2312"/>
        </w:rPr>
        <w:t>地址：渭南市民综合服务中心</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联系人：吝玉峰</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地址：陕西省渭南市临渭区朝阳大街中段中银大厦</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渭南市1828名村卫生室卫生技术人员进行中医药知识与技能培训。培训内容涉及中医诊断，中医内、外、妇、儿等基层常见病症的中医治疗及针灸推拿康复理疗和其他疗法等。培训单位能够承担培训教学、考核任务和培训人员食宿及管理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渭南市卫生健康委员会基层中医药服务能力提升项目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标的名称：渭南市卫生健康委员会基层中医药服务能力提升项目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1、满足《中华人民共和国政府采购法》第二十二条规定；</w:t>
            </w:r>
          </w:p>
          <w:p>
            <w:pPr>
              <w:pStyle w:val="null3"/>
            </w:pPr>
            <w:r>
              <w:rPr>
                <w:rFonts w:ascii="仿宋_GB2312" w:hAnsi="仿宋_GB2312" w:cs="仿宋_GB2312" w:eastAsia="仿宋_GB2312"/>
              </w:rPr>
              <w:t>2、具有独立承担民事责任能力合法有效；</w:t>
            </w:r>
          </w:p>
          <w:p>
            <w:pPr>
              <w:pStyle w:val="null3"/>
            </w:pPr>
            <w:r>
              <w:rPr>
                <w:rFonts w:ascii="仿宋_GB2312" w:hAnsi="仿宋_GB2312" w:cs="仿宋_GB2312" w:eastAsia="仿宋_GB2312"/>
              </w:rPr>
              <w:t>3、具有良好的商业信誉和健全的财务会计制度；</w:t>
            </w:r>
          </w:p>
          <w:p>
            <w:pPr>
              <w:pStyle w:val="null3"/>
            </w:pPr>
            <w:r>
              <w:rPr>
                <w:rFonts w:ascii="仿宋_GB2312" w:hAnsi="仿宋_GB2312" w:cs="仿宋_GB2312" w:eastAsia="仿宋_GB2312"/>
              </w:rPr>
              <w:t>4、具有履行合同所必需的设备和专业技术能力；</w:t>
            </w:r>
          </w:p>
          <w:p>
            <w:pPr>
              <w:pStyle w:val="null3"/>
            </w:pPr>
            <w:r>
              <w:rPr>
                <w:rFonts w:ascii="仿宋_GB2312" w:hAnsi="仿宋_GB2312" w:cs="仿宋_GB2312" w:eastAsia="仿宋_GB2312"/>
              </w:rPr>
              <w:t>5、有依法缴纳税收和社会保障资金的良好记录；</w:t>
            </w:r>
          </w:p>
          <w:p>
            <w:pPr>
              <w:pStyle w:val="null3"/>
            </w:pPr>
            <w:r>
              <w:rPr>
                <w:rFonts w:ascii="仿宋_GB2312" w:hAnsi="仿宋_GB2312" w:cs="仿宋_GB2312" w:eastAsia="仿宋_GB2312"/>
              </w:rPr>
              <w:t>6、具有提供培训所需的教学场所和设备，能按照理论授课与临床实践相结合的方式，开展中医诊断，中医内、外、妇、儿等基层常见病症的中医治疗及针灸推拿康复理疗和其他疗法等培训，授课专家应为在本领域有一定影响力的副教授及以上职称或副主任医师及以上职称人员，能够满足参训学员培训期间住宿和用餐要求，能完成学员日常管理、授课、考核及结业证书发放等工作的培训机构。</w:t>
            </w:r>
          </w:p>
          <w:p>
            <w:pPr>
              <w:pStyle w:val="null3"/>
            </w:pPr>
            <w:r>
              <w:rPr>
                <w:rFonts w:ascii="仿宋_GB2312" w:hAnsi="仿宋_GB2312" w:cs="仿宋_GB2312" w:eastAsia="仿宋_GB2312"/>
              </w:rPr>
              <w:t>7、本项目不接受联合体。</w:t>
            </w:r>
          </w:p>
          <w:p>
            <w:pPr>
              <w:pStyle w:val="null3"/>
            </w:pPr>
            <w:r>
              <w:rPr>
                <w:rFonts w:ascii="仿宋_GB2312" w:hAnsi="仿宋_GB2312" w:cs="仿宋_GB2312" w:eastAsia="仿宋_GB2312"/>
              </w:rPr>
              <w:t>8.培训参照《乡村医生中医药知识与技能基本要求》(国中医药发〔2006〕15号)、《乡村医生中医药知识与技能培训大纲》(国中医药发〔2006〕 40号)，结合《中医药法》有关要求及中医药健康管理服务规范和适宜技术推广等内容，以基层卫生技术人员的实际需求为导向，制定具体的培训内容。</w:t>
            </w:r>
          </w:p>
          <w:p>
            <w:pPr>
              <w:pStyle w:val="null3"/>
            </w:pPr>
            <w:r>
              <w:rPr>
                <w:rFonts w:ascii="仿宋_GB2312" w:hAnsi="仿宋_GB2312" w:cs="仿宋_GB2312" w:eastAsia="仿宋_GB2312"/>
              </w:rPr>
              <w:t>9.培训采取中医药基础、专业理论授课与临床实践相结合的方式。参照《乡村医生中医药知识与技能基本要求》(国中医药发〔2006〕15号)、《乡村医生中医药知识与技能培训大纲》(国中医药发〔2006〕40号)，结合《中医药法》有关要求及中医药健康管理服务规范和适宜技术推广等内容，以基层卫生技术人员的实际需求为导向，制定具体的培训内容。培训内容涉及中医诊断，中医内、外、妇、儿等基层常见病症的中医治疗及针灸推拿康复理疗和其他疗法等。</w:t>
            </w:r>
          </w:p>
          <w:p>
            <w:pPr>
              <w:pStyle w:val="null3"/>
              <w:jc w:val="both"/>
            </w:pPr>
            <w:r>
              <w:rPr>
                <w:rFonts w:ascii="仿宋_GB2312" w:hAnsi="仿宋_GB2312" w:cs="仿宋_GB2312" w:eastAsia="仿宋_GB2312"/>
                <w:sz w:val="21"/>
              </w:rPr>
              <w:t>10.培训单位能够开展中医诊断，中医内、外、妇、儿等基层常见病症的中医治疗及针灸推拿康复理疗和其他疗法等培训内容，能够提供培训所需优质中医药师资，授课专家应为在本领域有一定影响力的副教授及以上职称或副主任医师及以上职称人员。能够满足参训学员培训期间住宿和用餐要求。能完成学员日常管理、授课、考核及结业证书发放等工作的培训机构。</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有承担培训教学的师资力量，能够提供培训所需优质中医药师资，授课专家应为在本领域有一定影响力的副教授及以上职称或副主任医师及以上职称人员；有一定数量的管理人员、技术人员；如有技术人员服务能力欠缺问题，供应商承诺无条件更换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培训机构能够提供培训所需的教学场所和设备，能够按照集中理论授课与临床实践相结合的方式，提供开展中医诊断，中医内、外、妇、儿等基层常见病症的中医治疗及针灸推拿康复理疗和其他疗法等所需的场所、设施、设备；能够高标准满足参训学员培训期间住宿和用餐要求，能完成学员日常管理、授课、考核及结业证书发放等工作。</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培训采取集中理论授课与临床实践相结合的方式。参照《乡村医生中医药知识与技能基本要求》(国中医药发〔2006〕15号)、《乡村医生中医药知识与技能培训大纲》(国中医药发〔2006〕40号)，结合《中医药法》有关要求及中医药健康管理服务规范和适宜技术推广等内容，以基层卫生技术人员的实际需求为导向，制定具体的培训内容。培训内容涉及中医诊断，中医内、外、妇、儿等基层常见病症的中医治疗及针灸推拿康复理疗和其他疗法等。 2.培训机构能够提供培训所需的教学场所和设备，能够高标准满足参训学员培训期间住宿和用餐要求。能够按照集中理论授课与临床实践相结合的方式，开展中医诊断，中医内、外、妇、儿等基层常见病症的中医治疗及针灸推拿康复理疗和其他疗法等培训内容，能够提供培训所需优质中医药师资，授课专家应为在本领域有一定影响力的副教授及以上职称或副主任医师及以上职称人员。能完成学员日常管理、授课、考核及结业证书发放等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2025年12月20日前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渭南市卫生健康委员会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1、培训参照《乡村医生中医药知识与技能基本要求》(国中医药发〔2006〕15号)、《乡村医生中医药知识与技能培训大纲》(国中医药发〔2006〕 40号)，结合《中医药法》有关要求及中医药健康管理服务规范和适宜技术推广等内容，以基层卫生技术人员的实际需求为导向，制定具体的培训内容。 2、基层卫生技术人员运用中医药诊疗知识和技能水平全面提高，发挥中医药在常见病、多发病、慢性病防治以及疾病康复治疗中的作用。 3、进一步夯实基层中医药人才队伍，提升基层医疗卫生机构中医药服务能力； 4、着力健全基层中医药服务网络，全面提升基层中医药在治未病、医疗、康复、公共卫生、健康教育等领域的服务能力； 5、持续提高基层中医药服务的可及性、便捷性、公平性。</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培训合同签订后甲方支付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培训结束后甲方支付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双方本着友好合作的态度,对合同履行过程中发生的纠纷应及时协商解决，协商不成的，向甲方所在地有管辖权的人民法院诉讼解决。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培训参照《乡村医生中医药知识与技能基本要求》(国中医药发〔2006〕15号)、《乡村医生中医药知识与技能培训大纲》(国中医药发〔2006〕 40号)，结合《中医药法》有关要求及中医药健康管理服务规范和适宜技术推广等内容，以基层卫生技术人员的实际需求为导向，制定具体的培训内容。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财务会计制度.docx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供应商需在项目电子化交易系统中按要求填写响应函、书面声明，完成承诺并进行电子签章。</w:t>
            </w:r>
          </w:p>
        </w:tc>
        <w:tc>
          <w:tcPr>
            <w:tcW w:type="dxa" w:w="1661"/>
          </w:tcPr>
          <w:p>
            <w:pPr>
              <w:pStyle w:val="null3"/>
            </w:pPr>
            <w:r>
              <w:rPr>
                <w:rFonts w:ascii="仿宋_GB2312" w:hAnsi="仿宋_GB2312" w:cs="仿宋_GB2312" w:eastAsia="仿宋_GB2312"/>
              </w:rPr>
              <w:t>书面声明.docx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供应商（联合体）需在电子交易系统填写中小企业声明函或残疾人福利企单位声明函、监狱企业的证明文件完成承诺，并进行电子签章。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供应商须提供合法注册的法人或其他组织的营业执照等证明文件，自然人须提供身份证明文件；供应商需在项目电子化交易系统中按要求上传相应证明文件，并进行电子签章。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其中法定代表人直接参加的，须出具法定代表人身份证，并与营业执照上信息一致。法定代表人授权代表参加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法定代表人证明书.docx 供应商应提交的相关资格证明材料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一年内任意一个月依法缴纳税收的相关凭据（时间以税款所属日期为准、税种须包含增值税或企业所得税），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一年内任意一个月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2024年度经审计的财务会计报告或其磋商前六个月内银行出具的资信证明（以上两种形式的资料提供任何一种即可）；供应商需在项目电子化交易系统中按要求上传相应证明文件，并进行电子签章。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参与采购活动前三年内在经营活动中没有重大违法记录的书面声明</w:t>
            </w:r>
          </w:p>
        </w:tc>
        <w:tc>
          <w:tcPr>
            <w:tcW w:type="dxa" w:w="3322"/>
          </w:tcPr>
          <w:p>
            <w:pPr>
              <w:pStyle w:val="null3"/>
            </w:pPr>
            <w:r>
              <w:rPr>
                <w:rFonts w:ascii="仿宋_GB2312" w:hAnsi="仿宋_GB2312" w:cs="仿宋_GB2312" w:eastAsia="仿宋_GB2312"/>
              </w:rPr>
              <w:t>提供开标前三年内在经营活动中没有重大违法记录的书面声明；供应商需在项目电子化交易系统中按要求上传相应证明文件，并进行电子签章。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供应商无重大违法记录书面声明函.docx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非联合体不分包磋商声明</w:t>
            </w:r>
          </w:p>
        </w:tc>
        <w:tc>
          <w:tcPr>
            <w:tcW w:type="dxa" w:w="3322"/>
          </w:tcPr>
          <w:p>
            <w:pPr>
              <w:pStyle w:val="null3"/>
            </w:pPr>
            <w:r>
              <w:rPr>
                <w:rFonts w:ascii="仿宋_GB2312" w:hAnsi="仿宋_GB2312" w:cs="仿宋_GB2312" w:eastAsia="仿宋_GB2312"/>
              </w:rPr>
              <w:t>按要求上传非联合体不分包磋商声明，并进行电子签章。</w:t>
            </w:r>
          </w:p>
        </w:tc>
        <w:tc>
          <w:tcPr>
            <w:tcW w:type="dxa" w:w="1661"/>
          </w:tcPr>
          <w:p>
            <w:pPr>
              <w:pStyle w:val="null3"/>
            </w:pPr>
            <w:r>
              <w:rPr>
                <w:rFonts w:ascii="仿宋_GB2312" w:hAnsi="仿宋_GB2312" w:cs="仿宋_GB2312" w:eastAsia="仿宋_GB2312"/>
              </w:rPr>
              <w:t>供应商应提交的相关资格证明材料 非联合体不分包声明.docx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按要求上传信用记录书面声明函，并进行电子签章。</w:t>
            </w:r>
          </w:p>
        </w:tc>
        <w:tc>
          <w:tcPr>
            <w:tcW w:type="dxa" w:w="1661"/>
          </w:tcPr>
          <w:p>
            <w:pPr>
              <w:pStyle w:val="null3"/>
            </w:pPr>
            <w:r>
              <w:rPr>
                <w:rFonts w:ascii="仿宋_GB2312" w:hAnsi="仿宋_GB2312" w:cs="仿宋_GB2312" w:eastAsia="仿宋_GB2312"/>
              </w:rPr>
              <w:t>供应商信用记录书面声明函.docx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供应商应提交的相关资格证明材料 标的清单 报价表 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说明：以投标函中的项目名称、项目编号为准。</w:t>
            </w:r>
          </w:p>
        </w:tc>
        <w:tc>
          <w:tcPr>
            <w:tcW w:type="dxa" w:w="1661"/>
          </w:tcPr>
          <w:p>
            <w:pPr>
              <w:pStyle w:val="null3"/>
            </w:pPr>
            <w:r>
              <w:rPr>
                <w:rFonts w:ascii="仿宋_GB2312" w:hAnsi="仿宋_GB2312" w:cs="仿宋_GB2312" w:eastAsia="仿宋_GB2312"/>
              </w:rPr>
              <w:t>响应文件封面 法定代表人证明书.docx 响应函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完全理解并接受磋商文件中技术和商务要求。</w:t>
            </w:r>
          </w:p>
        </w:tc>
        <w:tc>
          <w:tcPr>
            <w:tcW w:type="dxa" w:w="1661"/>
          </w:tcPr>
          <w:p>
            <w:pPr>
              <w:pStyle w:val="null3"/>
            </w:pPr>
            <w:r>
              <w:rPr>
                <w:rFonts w:ascii="仿宋_GB2312" w:hAnsi="仿宋_GB2312" w:cs="仿宋_GB2312" w:eastAsia="仿宋_GB2312"/>
              </w:rPr>
              <w:t>服务内容及服务邀请应答表 合同草案条款响应说明.docx 商务应答表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服务质量或者不能诚信履约的，应当在磋商现场提供书面说明及相关证明材料。供应商不能证明其报价合理性的，为无效磋商）（政府采购项目基准价只能是最低价，以上计算方式为政府采购综合评分法的规定） 注：本项目已专门面向中小微企业，对小微企业、监狱企业、残疾人福利性单位不再给予价格扣除，供应商需如实填写《中小微企业声明函》。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各类方案</w:t>
            </w:r>
          </w:p>
        </w:tc>
        <w:tc>
          <w:tcPr>
            <w:tcW w:type="dxa" w:w="2492"/>
          </w:tcPr>
          <w:p>
            <w:pPr>
              <w:pStyle w:val="null3"/>
            </w:pPr>
            <w:r>
              <w:rPr>
                <w:rFonts w:ascii="仿宋_GB2312" w:hAnsi="仿宋_GB2312" w:cs="仿宋_GB2312" w:eastAsia="仿宋_GB2312"/>
              </w:rPr>
              <w:t>根据本项目要求提出全面、科学、可操作性强的培训方案和服务方案，各个环节方案合理，磋商小组根据各供应商响应程度综合评审。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培训方案.docx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培训师资以及管理、技术保障情况</w:t>
            </w:r>
          </w:p>
        </w:tc>
        <w:tc>
          <w:tcPr>
            <w:tcW w:type="dxa" w:w="2492"/>
          </w:tcPr>
          <w:p>
            <w:pPr>
              <w:pStyle w:val="null3"/>
            </w:pPr>
            <w:r>
              <w:rPr>
                <w:rFonts w:ascii="仿宋_GB2312" w:hAnsi="仿宋_GB2312" w:cs="仿宋_GB2312" w:eastAsia="仿宋_GB2312"/>
              </w:rPr>
              <w:t>供应商有承担培训教学的师资力量，有一定数量的管理人员、技术人员（供应商能够满足培训所需的优质中医药授课专家，授课专家应为副教授及以上职称或副主任医师及以上职称），供应商需在项目电子化交易系统中按要求上传拟投入的授课专家情况表，拟投入的管理人员和技术人员情况表。根据采购内容，磋商小组根据所提供的资料综合评比。（附身份证、劳动合同及相关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拟投入管理人员和技术人员情况表.docx</w:t>
            </w:r>
          </w:p>
          <w:p>
            <w:pPr>
              <w:pStyle w:val="null3"/>
            </w:pPr>
            <w:r>
              <w:rPr>
                <w:rFonts w:ascii="仿宋_GB2312" w:hAnsi="仿宋_GB2312" w:cs="仿宋_GB2312" w:eastAsia="仿宋_GB2312"/>
              </w:rPr>
              <w:t>拟投入授课专家情况表.docx</w:t>
            </w:r>
          </w:p>
        </w:tc>
      </w:tr>
      <w:tr>
        <w:tc>
          <w:tcPr>
            <w:tcW w:type="dxa" w:w="831"/>
            <w:vMerge/>
          </w:tcPr>
          <w:p/>
        </w:tc>
        <w:tc>
          <w:tcPr>
            <w:tcW w:type="dxa" w:w="1661"/>
          </w:tcPr>
          <w:p>
            <w:pPr>
              <w:pStyle w:val="null3"/>
            </w:pPr>
            <w:r>
              <w:rPr>
                <w:rFonts w:ascii="仿宋_GB2312" w:hAnsi="仿宋_GB2312" w:cs="仿宋_GB2312" w:eastAsia="仿宋_GB2312"/>
              </w:rPr>
              <w:t>教学场所和设备情况</w:t>
            </w:r>
          </w:p>
        </w:tc>
        <w:tc>
          <w:tcPr>
            <w:tcW w:type="dxa" w:w="2492"/>
          </w:tcPr>
          <w:p>
            <w:pPr>
              <w:pStyle w:val="null3"/>
            </w:pPr>
            <w:r>
              <w:rPr>
                <w:rFonts w:ascii="仿宋_GB2312" w:hAnsi="仿宋_GB2312" w:cs="仿宋_GB2312" w:eastAsia="仿宋_GB2312"/>
              </w:rPr>
              <w:t>根据采购内容，供应商可承担1828人培训所需的教学场所和设备，场所环境好、设备先进，磋商小组根据各供应商响应情况进行综合比较，优秀计10-15分，良好计5-9分，一般计1-4分。（后附相关照片）</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拟投入本项目的设备表.docx</w:t>
            </w:r>
          </w:p>
          <w:p>
            <w:pPr>
              <w:pStyle w:val="null3"/>
            </w:pPr>
            <w:r>
              <w:rPr>
                <w:rFonts w:ascii="仿宋_GB2312" w:hAnsi="仿宋_GB2312" w:cs="仿宋_GB2312" w:eastAsia="仿宋_GB2312"/>
              </w:rPr>
              <w:t>教学场所情况说明（附照片）.docx</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住宿和用餐环境</w:t>
            </w:r>
          </w:p>
        </w:tc>
        <w:tc>
          <w:tcPr>
            <w:tcW w:type="dxa" w:w="2492"/>
          </w:tcPr>
          <w:p>
            <w:pPr>
              <w:pStyle w:val="null3"/>
            </w:pPr>
            <w:r>
              <w:rPr>
                <w:rFonts w:ascii="仿宋_GB2312" w:hAnsi="仿宋_GB2312" w:cs="仿宋_GB2312" w:eastAsia="仿宋_GB2312"/>
              </w:rPr>
              <w:t>根据采购内容，供应商可承担1828人培训的住宿和用餐需求，客房充足、设施齐全，用餐环境优、餐品丰富，根据各供应商响应情况进行综合比较，优秀计7-10分，良好计3-6分，一般计1-2分。（后附相关照片）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餐厅情况说明（附照片）.docx</w:t>
            </w:r>
          </w:p>
          <w:p>
            <w:pPr>
              <w:pStyle w:val="null3"/>
            </w:pPr>
            <w:r>
              <w:rPr>
                <w:rFonts w:ascii="仿宋_GB2312" w:hAnsi="仿宋_GB2312" w:cs="仿宋_GB2312" w:eastAsia="仿宋_GB2312"/>
              </w:rPr>
              <w:t>住宿情况说明（附照片）.docx</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供应商需提供开标前三年内具有类似项目业绩，每提供一项得1分，满分3分，无业绩得0分。评审依据：提供投标人加盖公章的合同协议书或中标通知书复印件，以合同签订时间或中标通知书发出时间为准。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合同条款响应及相关承诺</w:t>
            </w:r>
          </w:p>
        </w:tc>
        <w:tc>
          <w:tcPr>
            <w:tcW w:type="dxa" w:w="2492"/>
          </w:tcPr>
          <w:p>
            <w:pPr>
              <w:pStyle w:val="null3"/>
            </w:pPr>
            <w:r>
              <w:rPr>
                <w:rFonts w:ascii="仿宋_GB2312" w:hAnsi="仿宋_GB2312" w:cs="仿宋_GB2312" w:eastAsia="仿宋_GB2312"/>
              </w:rPr>
              <w:t>1、经审查合格的供应商，其投标文件中对采购内容和合同主要条款进行响应说明，按其响应程度综合评审，计0-5分； 2、在培训期间，如有技术人员服务能力欠缺问题，供应商承诺无条件更换技术人员的计2分，不承诺的不得分；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合同草案条款响应说明.docx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技术服务承诺书.docx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1、供应商具有健全内部管理制度，包括财务制度、安全制度、培训制度、考勤制度、人员管理制度等，制度科学合理、完善齐全，经综合比较计0-5分； 2、对参训人员培训效果考核方案切实可行，按其响应程度综合比较计0-5分；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财务会计制度.docx</w:t>
            </w:r>
          </w:p>
          <w:p>
            <w:pPr>
              <w:pStyle w:val="null3"/>
            </w:pPr>
            <w:r>
              <w:rPr>
                <w:rFonts w:ascii="仿宋_GB2312" w:hAnsi="仿宋_GB2312" w:cs="仿宋_GB2312" w:eastAsia="仿宋_GB2312"/>
              </w:rPr>
              <w:t>安全制度.docx</w:t>
            </w:r>
          </w:p>
          <w:p>
            <w:pPr>
              <w:pStyle w:val="null3"/>
            </w:pPr>
            <w:r>
              <w:rPr>
                <w:rFonts w:ascii="仿宋_GB2312" w:hAnsi="仿宋_GB2312" w:cs="仿宋_GB2312" w:eastAsia="仿宋_GB2312"/>
              </w:rPr>
              <w:t>人员管理制度.docx</w:t>
            </w:r>
          </w:p>
          <w:p>
            <w:pPr>
              <w:pStyle w:val="null3"/>
            </w:pPr>
            <w:r>
              <w:rPr>
                <w:rFonts w:ascii="仿宋_GB2312" w:hAnsi="仿宋_GB2312" w:cs="仿宋_GB2312" w:eastAsia="仿宋_GB2312"/>
              </w:rPr>
              <w:t>考勤制度.docx</w:t>
            </w:r>
          </w:p>
          <w:p>
            <w:pPr>
              <w:pStyle w:val="null3"/>
            </w:pPr>
            <w:r>
              <w:rPr>
                <w:rFonts w:ascii="仿宋_GB2312" w:hAnsi="仿宋_GB2312" w:cs="仿宋_GB2312" w:eastAsia="仿宋_GB2312"/>
              </w:rPr>
              <w:t>培训制度.docx</w:t>
            </w:r>
          </w:p>
          <w:p>
            <w:pPr>
              <w:pStyle w:val="null3"/>
            </w:pPr>
            <w:r>
              <w:rPr>
                <w:rFonts w:ascii="仿宋_GB2312" w:hAnsi="仿宋_GB2312" w:cs="仿宋_GB2312" w:eastAsia="仿宋_GB2312"/>
              </w:rPr>
              <w:t>考核方案.docx</w:t>
            </w:r>
          </w:p>
        </w:tc>
      </w:tr>
      <w:tr>
        <w:tc>
          <w:tcPr>
            <w:tcW w:type="dxa" w:w="831"/>
            <w:vMerge/>
          </w:tcPr>
          <w:p/>
        </w:tc>
        <w:tc>
          <w:tcPr>
            <w:tcW w:type="dxa" w:w="1661"/>
          </w:tcPr>
          <w:p>
            <w:pPr>
              <w:pStyle w:val="null3"/>
            </w:pPr>
            <w:r>
              <w:rPr>
                <w:rFonts w:ascii="仿宋_GB2312" w:hAnsi="仿宋_GB2312" w:cs="仿宋_GB2312" w:eastAsia="仿宋_GB2312"/>
              </w:rPr>
              <w:t>安全责任方案及应急处置措施</w:t>
            </w:r>
          </w:p>
        </w:tc>
        <w:tc>
          <w:tcPr>
            <w:tcW w:type="dxa" w:w="2492"/>
          </w:tcPr>
          <w:p>
            <w:pPr>
              <w:pStyle w:val="null3"/>
            </w:pPr>
            <w:r>
              <w:rPr>
                <w:rFonts w:ascii="仿宋_GB2312" w:hAnsi="仿宋_GB2312" w:cs="仿宋_GB2312" w:eastAsia="仿宋_GB2312"/>
              </w:rPr>
              <w:t>1、供应商制定培训期间完整可行的安全责任方案，并对其做出书面承诺，磋商小组成员根据各供应商响应情况进行综合比较，按其响应程度综合比较计0-5分； 2、对突发应急事件处置措施得当、合理，磋商小组根据各供应商响应程度综合比较计0-5分。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安全责任方案及安全责任承诺书.docx</w:t>
            </w:r>
          </w:p>
          <w:p>
            <w:pPr>
              <w:pStyle w:val="null3"/>
            </w:pPr>
            <w:r>
              <w:rPr>
                <w:rFonts w:ascii="仿宋_GB2312" w:hAnsi="仿宋_GB2312" w:cs="仿宋_GB2312" w:eastAsia="仿宋_GB2312"/>
              </w:rPr>
              <w:t>安全制度.docx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突发事件应急外置措施.docx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详见附件：财务会计制度.docx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详见附件：非联合体不分包声明.docx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详见附件：合同草案条款响应说明.docx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详见附件：安全责任方案及安全责任承诺书.docx</w:t>
      </w:r>
    </w:p>
    <w:p>
      <w:pPr>
        <w:pStyle w:val="null3"/>
        <w:ind w:firstLine="960"/>
      </w:pPr>
      <w:r>
        <w:rPr>
          <w:rFonts w:ascii="仿宋_GB2312" w:hAnsi="仿宋_GB2312" w:cs="仿宋_GB2312" w:eastAsia="仿宋_GB2312"/>
        </w:rPr>
        <w:t>详见附件：安全制度.docx</w:t>
      </w:r>
    </w:p>
    <w:p>
      <w:pPr>
        <w:pStyle w:val="null3"/>
        <w:ind w:firstLine="960"/>
      </w:pPr>
      <w:r>
        <w:rPr>
          <w:rFonts w:ascii="仿宋_GB2312" w:hAnsi="仿宋_GB2312" w:cs="仿宋_GB2312" w:eastAsia="仿宋_GB2312"/>
        </w:rPr>
        <w:t>详见附件：技术服务承诺书.docx</w:t>
      </w:r>
    </w:p>
    <w:p>
      <w:pPr>
        <w:pStyle w:val="null3"/>
        <w:ind w:firstLine="960"/>
      </w:pPr>
      <w:r>
        <w:rPr>
          <w:rFonts w:ascii="仿宋_GB2312" w:hAnsi="仿宋_GB2312" w:cs="仿宋_GB2312" w:eastAsia="仿宋_GB2312"/>
        </w:rPr>
        <w:t>详见附件：拟投入管理人员和技术人员情况表.docx</w:t>
      </w:r>
    </w:p>
    <w:p>
      <w:pPr>
        <w:pStyle w:val="null3"/>
        <w:ind w:firstLine="960"/>
      </w:pPr>
      <w:r>
        <w:rPr>
          <w:rFonts w:ascii="仿宋_GB2312" w:hAnsi="仿宋_GB2312" w:cs="仿宋_GB2312" w:eastAsia="仿宋_GB2312"/>
        </w:rPr>
        <w:t>详见附件：拟投入授课专家情况表.docx</w:t>
      </w:r>
    </w:p>
    <w:p>
      <w:pPr>
        <w:pStyle w:val="null3"/>
        <w:ind w:firstLine="960"/>
      </w:pPr>
      <w:r>
        <w:rPr>
          <w:rFonts w:ascii="仿宋_GB2312" w:hAnsi="仿宋_GB2312" w:cs="仿宋_GB2312" w:eastAsia="仿宋_GB2312"/>
        </w:rPr>
        <w:t>详见附件：人员管理制度.docx</w:t>
      </w:r>
    </w:p>
    <w:p>
      <w:pPr>
        <w:pStyle w:val="null3"/>
        <w:ind w:firstLine="960"/>
      </w:pPr>
      <w:r>
        <w:rPr>
          <w:rFonts w:ascii="仿宋_GB2312" w:hAnsi="仿宋_GB2312" w:cs="仿宋_GB2312" w:eastAsia="仿宋_GB2312"/>
        </w:rPr>
        <w:t>详见附件：考勤制度.docx</w:t>
      </w:r>
    </w:p>
    <w:p>
      <w:pPr>
        <w:pStyle w:val="null3"/>
        <w:ind w:firstLine="960"/>
      </w:pPr>
      <w:r>
        <w:rPr>
          <w:rFonts w:ascii="仿宋_GB2312" w:hAnsi="仿宋_GB2312" w:cs="仿宋_GB2312" w:eastAsia="仿宋_GB2312"/>
        </w:rPr>
        <w:t>详见附件：培训制度.docx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详见附件：突发事件应急外置措施.docx</w:t>
      </w:r>
    </w:p>
    <w:p>
      <w:pPr>
        <w:pStyle w:val="null3"/>
        <w:ind w:firstLine="960"/>
      </w:pPr>
      <w:r>
        <w:rPr>
          <w:rFonts w:ascii="仿宋_GB2312" w:hAnsi="仿宋_GB2312" w:cs="仿宋_GB2312" w:eastAsia="仿宋_GB2312"/>
        </w:rPr>
        <w:t>详见附件：考核方案.docx</w:t>
      </w:r>
    </w:p>
    <w:p>
      <w:pPr>
        <w:pStyle w:val="null3"/>
        <w:ind w:firstLine="960"/>
      </w:pPr>
      <w:r>
        <w:rPr>
          <w:rFonts w:ascii="仿宋_GB2312" w:hAnsi="仿宋_GB2312" w:cs="仿宋_GB2312" w:eastAsia="仿宋_GB2312"/>
        </w:rPr>
        <w:t>详见附件：餐厅情况说明（附照片）.docx</w:t>
      </w:r>
    </w:p>
    <w:p>
      <w:pPr>
        <w:pStyle w:val="null3"/>
        <w:ind w:firstLine="960"/>
      </w:pPr>
      <w:r>
        <w:rPr>
          <w:rFonts w:ascii="仿宋_GB2312" w:hAnsi="仿宋_GB2312" w:cs="仿宋_GB2312" w:eastAsia="仿宋_GB2312"/>
        </w:rPr>
        <w:t>详见附件：住宿情况说明（附照片）.docx</w:t>
      </w:r>
    </w:p>
    <w:p>
      <w:pPr>
        <w:pStyle w:val="null3"/>
        <w:ind w:firstLine="960"/>
      </w:pPr>
      <w:r>
        <w:rPr>
          <w:rFonts w:ascii="仿宋_GB2312" w:hAnsi="仿宋_GB2312" w:cs="仿宋_GB2312" w:eastAsia="仿宋_GB2312"/>
        </w:rPr>
        <w:t>详见附件：拟投入本项目的设备表.docx</w:t>
      </w:r>
    </w:p>
    <w:p>
      <w:pPr>
        <w:pStyle w:val="null3"/>
        <w:ind w:firstLine="960"/>
      </w:pPr>
      <w:r>
        <w:rPr>
          <w:rFonts w:ascii="仿宋_GB2312" w:hAnsi="仿宋_GB2312" w:cs="仿宋_GB2312" w:eastAsia="仿宋_GB2312"/>
        </w:rPr>
        <w:t>详见附件：教学场所情况说明（附照片）.docx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