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版本号：ZCSP-渭南市-2025-0058120250710001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华阴市华山镇周边农村生活污水治理项目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ZCSP-渭南市-2025-00581</w:t>
      </w:r>
      <w:r>
        <w:br/>
      </w:r>
      <w:r>
        <w:br/>
      </w:r>
      <w:r>
        <w:br/>
      </w:r>
    </w:p>
    <w:p>
      <w:pPr>
        <w:pStyle w:val="null3"/>
        <w:jc w:val="center"/>
        <w:outlineLvl w:val="2"/>
      </w:pPr>
      <w:r>
        <w:rPr>
          <w:rFonts w:ascii="仿宋_GB2312" w:hAnsi="仿宋_GB2312" w:cs="仿宋_GB2312" w:eastAsia="仿宋_GB2312"/>
          <w:sz w:val="28"/>
          <w:b/>
        </w:rPr>
        <w:t>渭南市生态环境局华阴分局</w:t>
      </w:r>
    </w:p>
    <w:p>
      <w:pPr>
        <w:pStyle w:val="null3"/>
        <w:jc w:val="center"/>
        <w:outlineLvl w:val="2"/>
      </w:pPr>
      <w:r>
        <w:rPr>
          <w:rFonts w:ascii="仿宋_GB2312" w:hAnsi="仿宋_GB2312" w:cs="仿宋_GB2312" w:eastAsia="仿宋_GB2312"/>
          <w:sz w:val="28"/>
          <w:b/>
        </w:rPr>
        <w:t>陕西利隆建设项目管理有限公司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陕西利隆建设项目管理有限公司</w:t>
      </w:r>
      <w:r>
        <w:rPr>
          <w:rFonts w:ascii="仿宋_GB2312" w:hAnsi="仿宋_GB2312" w:cs="仿宋_GB2312" w:eastAsia="仿宋_GB2312"/>
        </w:rPr>
        <w:t>（以下简称“代理机构”）受</w:t>
      </w:r>
      <w:r>
        <w:rPr>
          <w:rFonts w:ascii="仿宋_GB2312" w:hAnsi="仿宋_GB2312" w:cs="仿宋_GB2312" w:eastAsia="仿宋_GB2312"/>
        </w:rPr>
        <w:t>渭南市生态环境局华阴分局</w:t>
      </w:r>
      <w:r>
        <w:rPr>
          <w:rFonts w:ascii="仿宋_GB2312" w:hAnsi="仿宋_GB2312" w:cs="仿宋_GB2312" w:eastAsia="仿宋_GB2312"/>
        </w:rPr>
        <w:t>委托，拟对</w:t>
      </w:r>
      <w:r>
        <w:rPr>
          <w:rFonts w:ascii="仿宋_GB2312" w:hAnsi="仿宋_GB2312" w:cs="仿宋_GB2312" w:eastAsia="仿宋_GB2312"/>
        </w:rPr>
        <w:t>华阴市华山镇周边农村生活污水治理项目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ZCSP-渭南市-2025-00581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华阴市华山镇周边农村生活污水治理项目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华阴市华山镇周边农村生活污水收集管网建设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采购包1（华阴市华山镇周边农村生活污水治理项目）：属于专门面向中小企业采购。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1、营业执照：合法有效，具有独立承担民事责任的能力且具备向采购人提供相关服务的企业法人、其他组织或者自然人</w:t>
      </w:r>
    </w:p>
    <w:p>
      <w:pPr>
        <w:pStyle w:val="null3"/>
      </w:pPr>
      <w:r>
        <w:rPr>
          <w:rFonts w:ascii="仿宋_GB2312" w:hAnsi="仿宋_GB2312" w:cs="仿宋_GB2312" w:eastAsia="仿宋_GB2312"/>
        </w:rPr>
        <w:t>2、财务状况：关于财务会计制度的证明材料｛注：①可提供2023年度或2024年度供应商完整的全套财务报表（应当包括资产负债表、利润表、现金流量表、所有者权益变动表、附注），②可提供截至磋商响应文件提交截止日一年内银行出具的资信证明，③供应商注册时间截至磋商响应文件提交截止日不足一年的，也可提供供应商注册时间至磋商响应文件提交截止日的资产负债表、利润表、现金流量表。｝ 供应商需在项目电子化交易系统中按要求上传相应证明文件并进行电子签章。</w:t>
      </w:r>
    </w:p>
    <w:p>
      <w:pPr>
        <w:pStyle w:val="null3"/>
      </w:pPr>
      <w:r>
        <w:rPr>
          <w:rFonts w:ascii="仿宋_GB2312" w:hAnsi="仿宋_GB2312" w:cs="仿宋_GB2312" w:eastAsia="仿宋_GB2312"/>
        </w:rPr>
        <w:t>3、税收缴纳证明：提供磋商文件递交截止时间前6个月内任意一个月的缴费凭据，依法免税的单位应提供相关证明材料</w:t>
      </w:r>
    </w:p>
    <w:p>
      <w:pPr>
        <w:pStyle w:val="null3"/>
      </w:pPr>
      <w:r>
        <w:rPr>
          <w:rFonts w:ascii="仿宋_GB2312" w:hAnsi="仿宋_GB2312" w:cs="仿宋_GB2312" w:eastAsia="仿宋_GB2312"/>
        </w:rPr>
        <w:t>4、社会保障资金缴纳证明：提供磋商文件递交截止时间前6个月内任意一个月的社会保障资金缴存单据或社保机构开具的社会保险参保缴费情况证明，依法不需要缴纳社会保障资金的单位应提供相关证明材料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5、履约能力：提供具有履行合同所必需的设备和专业技术能力的承诺</w:t>
      </w:r>
    </w:p>
    <w:p>
      <w:pPr>
        <w:pStyle w:val="null3"/>
      </w:pPr>
      <w:r>
        <w:rPr>
          <w:rFonts w:ascii="仿宋_GB2312" w:hAnsi="仿宋_GB2312" w:cs="仿宋_GB2312" w:eastAsia="仿宋_GB2312"/>
        </w:rPr>
        <w:t>6、法人授权：法定代表人授权委托书（附法定代表人身份证复印件）及被授权委托人身份证（法定代表人参加磋商只须提供法定代表人身份证）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7、书面声明：提供参加政府采购活动前3年内在经营活动中没有重大违法记录的书面声明</w:t>
      </w:r>
    </w:p>
    <w:p>
      <w:pPr>
        <w:pStyle w:val="null3"/>
      </w:pPr>
      <w:r>
        <w:rPr>
          <w:rFonts w:ascii="仿宋_GB2312" w:hAnsi="仿宋_GB2312" w:cs="仿宋_GB2312" w:eastAsia="仿宋_GB2312"/>
        </w:rPr>
        <w:t>8、资质：具备建设行政主管部门核发的市政公用工程施工总承包三级或三级以上资质，具备有效的安全生产许可证，并在人员、设备、资金等方面具备相应施工能力，具备类似项目施工经验，且信誉良好，无不良记录；拟派项目经理须市政工程专业二级（含二级）以上注册建造师证书，具有安全考核合格B证，且无在建项目，无不良记录。投标人及拟派项目经理应在“陕西省建筑市场监管与诚信信息一体化发布平台”登记备案，不接受未登记备案及经平台查询有不良行为记录的企业提出的投标申请。省外企业须在陕西省建筑市场一体化平台可查询</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10、信誉：投标人不得在“信用中国” （http：//www.creditchina.gov.cn/）网站被列为失信被执行人和税收违法黑名单，且无不良记录。不得为中国政府采购网（www.ccgp.gov.cn）政府采购严重违法失信行为记录名单中被财政部门禁止参加政府采购活动的供应商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11、联合体：不接受（提供声明函）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渭南市生态环境局华阴分局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华阴市南环路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渭南市生态环境局华阴分局经办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09134618637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陕西利隆建设项目管理有限公司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陕西省渭南市临渭区朝阳大街中段审计大厦东座301室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宋敏歌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0913-2056859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开户名称：陕西利隆建设项目管理有限公司</w:t>
            </w:r>
          </w:p>
          <w:p>
            <w:pPr>
              <w:pStyle w:val="null3"/>
            </w:pPr>
            <w:r>
              <w:rPr>
                <w:rFonts w:ascii="仿宋_GB2312" w:hAnsi="仿宋_GB2312" w:cs="仿宋_GB2312" w:eastAsia="仿宋_GB2312"/>
              </w:rPr>
              <w:t>开户银行：中国工商银行股份有限公司渭南仓程路支行</w:t>
            </w:r>
          </w:p>
          <w:p>
            <w:pPr>
              <w:pStyle w:val="null3"/>
            </w:pPr>
            <w:r>
              <w:rPr>
                <w:rFonts w:ascii="仿宋_GB2312" w:hAnsi="仿宋_GB2312" w:cs="仿宋_GB2312" w:eastAsia="仿宋_GB2312"/>
              </w:rPr>
              <w:t>银行账号：2605025909020001177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代理服务费收费标准：《招标代理服务收费管理暂行办法》计价格[2002]1980号文和发改价格[2011]534号</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渭南市生态环境局华阴分局</w:t>
      </w:r>
      <w:r>
        <w:rPr>
          <w:rFonts w:ascii="仿宋_GB2312" w:hAnsi="仿宋_GB2312" w:cs="仿宋_GB2312" w:eastAsia="仿宋_GB2312"/>
        </w:rPr>
        <w:t>和</w:t>
      </w:r>
      <w:r>
        <w:rPr>
          <w:rFonts w:ascii="仿宋_GB2312" w:hAnsi="仿宋_GB2312" w:cs="仿宋_GB2312" w:eastAsia="仿宋_GB2312"/>
        </w:rPr>
        <w:t>陕西利隆建设项目管理有限公司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渭南市生态环境局华阴分局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陕西利隆建设项目管理有限公司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渭南市生态环境局华阴分局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陕西利隆建设项目管理有限公司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联系人：宋敏歌</w:t>
      </w:r>
    </w:p>
    <w:p>
      <w:pPr>
        <w:pStyle w:val="null3"/>
      </w:pPr>
      <w:r>
        <w:rPr>
          <w:rFonts w:ascii="仿宋_GB2312" w:hAnsi="仿宋_GB2312" w:cs="仿宋_GB2312" w:eastAsia="仿宋_GB2312"/>
        </w:rPr>
        <w:t>联系电话：0913-2056859</w:t>
      </w:r>
    </w:p>
    <w:p>
      <w:pPr>
        <w:pStyle w:val="null3"/>
      </w:pPr>
      <w:r>
        <w:rPr>
          <w:rFonts w:ascii="仿宋_GB2312" w:hAnsi="仿宋_GB2312" w:cs="仿宋_GB2312" w:eastAsia="仿宋_GB2312"/>
        </w:rPr>
        <w:t>地址：陕西省渭南市临渭区朝阳大街中段审计大厦东座301室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849,894.78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华阴市华山镇周边农村生活污水治理项目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标的名称：华阴市华山镇周边农村生活污水治理项目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（1）在施工范围内按施工内容和要求制定详细的施工组织设计方案，方案科学、合理、可靠。 （2）人员配备合理。有针对本项目的项目团队，项目负责人、配备人员分工明确(应有具体成员名单，包括姓名、工作职责等) （3）有各类突发事件的应急预案和措施，有明确具体的承诺。 （4）供应商所拟派的工作人员，若在施工期间发生任何伤害，采购人概不负责，由供应商自行处理。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合同履行期限：90日历天；2、质量目标：达到国家施工验收规范“合格”标准；3、付款进度：合同签订后，预付合同价款的30%作为进度款；工程全部完工付至合同价款的85%，验收完毕审计结算后，支付审计定案金额的剩余款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2023年度或2024年度供应商完整的全套财务报表（应当包括资产负债表、利润表、现金流量表、所有者权益变动表、附注），②可提供截至磋商响应文件提交截止日一年内银行出具的资信证明，③供应商注册时间截至磋商响应文件提交截止日不足一年的，也可提供供应商注册时间至磋商响应文件提交截止日的资产负债表、利润表、现金流量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合法有效，具有独立承担民事责任的能力且具备向采购人提供相关服务的企业法人、其他组织或者自然人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关于财务会计制度的证明材料｛注：①可提供2023年度或2024年度供应商完整的全套财务报表（应当包括资产负债表、利润表、现金流量表、所有者权益变动表、附注），②可提供截至磋商响应文件提交截止日一年内银行出具的资信证明，③供应商注册时间截至磋商响应文件提交截止日不足一年的，也可提供供应商注册时间至磋商响应文件提交截止日的资产负债表、利润表、现金流量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提供磋商文件递交截止时间前6个月内任意一个月的缴费凭据，依法免税的单位应提供相关证明材料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提供磋商文件递交截止时间前6个月内任意一个月的社会保障资金缴存单据或社保机构开具的社会保险参保缴费情况证明，依法不需要缴纳社会保障资金的单位应提供相关证明材料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法人授权</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法定代表人授权委托书.pdf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具备建设行政主管部门核发的市政公用工程施工总承包三级或三级以上资质，具备有效的安全生产许可证，并在人员、设备、资金等方面具备相应施工能力，具备类似项目施工经验，且信誉良好，无不良记录；拟派项目经理须市政工程专业二级（含二级）以上注册建造师证书，具有安全考核合格B证，且无在建项目，无不良记录。投标人及拟派项目经理应在“陕西省建筑市场监管与诚信信息一体化发布平台”登记备案，不接受未登记备案及经平台查询有不良行为记录的企业提出的投标申请。省外企业须在陕西省建筑市场一体化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投标人不得在“信用中国” （http：//www.creditchina.gov.cn/）网站被列为失信被执行人和税收违法黑名单，且无不良记录。不得为中国政府采购网（www.ccgp.gov.cn）政府采购严重违法失信行为记录名单中被财政部门禁止参加政府采购活动的供应商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不接受（提供声明函）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投标（响应）有效期满足磋商文件的要求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响应文件签字和盖章满足磋商文件的要求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法定代表人授权委托书.pdf 强制优先采购产品承诺函 响应文件封面 项目管理机构组成表 政府采购供应商拒绝政府采购领域商业贿赂承诺书.pdf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工期满足或优于采购要求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质量标准满足磋商文件要求</w:t>
            </w:r>
          </w:p>
        </w:tc>
        <w:tc>
          <w:tcPr>
            <w:tcW w:type="dxa" w:w="1661"/>
          </w:tcPr>
          <w:p>
            <w:pPr>
              <w:pStyle w:val="null3"/>
            </w:pPr>
            <w:r>
              <w:rPr>
                <w:rFonts w:ascii="仿宋_GB2312" w:hAnsi="仿宋_GB2312" w:cs="仿宋_GB2312" w:eastAsia="仿宋_GB2312"/>
              </w:rPr>
              <w:t>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一、评审内容：供应商针对本项目制定施工部署，包含①施工总平面布置；②安全目标、工期目标、质量目标；③主要施工机械设备；④劳动力等配备计划及主材进场计划等。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一、评审内容：供应商针对本项目制定施工方案，包含①施工准备；②主要施工方法；③施工进度计划；④技术措施；⑤安全保证措施；⑥重点难点工程分析及解决措施等。 二、评审标准：提供详细、合理、科学可行的方案，方案符合本项目采购需求有针对性，以上6项，以序号①、②、③、④、⑤、⑥为项数，内容无缺项、无漏项且无缺陷的得18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一、评审内容：针对本项目特点制定工程质量的技术组织措施，包含：①质量管理体系；②工程质量保障方案；③工程质量控制等。 二、评审标准：提供详细、合理、科学可行的方案，方案符合本项目采购需求有针对性，以上3项，以序号①、②、③为项数，内容无缺项、无漏项且无缺陷的得6分，其中每有一项内容存在缺项或漏项的扣2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一、评审内容：针对本项目特点制定安全生产技术组织措施，包含：①安全生产管理体系；②安全生产保证措施；③对常见施工风险如火灾等制定应急预案。 二、评审标准：提供详细、合理、科学可行的方案，方案符合 本项目采购需求有针对性，以上3项，以序号①、②、③为项数，内容无缺项、无漏项且无缺陷的得6分，其中每有一项内容存在缺项或漏项的扣2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一、评审内容：供应商提供针对本项目团队人员配备方案，包括但不限于：①项目管理组织架构；②岗位安排及职责（配备施工员、安全员、资料员、材料员、质量员）；③人员证件；④管理制度等。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供应商提供自2022年5月1日至今类似业绩的证明材料（合同或中标/成交通知书复印件加盖公章，以合同签订时间或中标/成交通知书发出为准）每提供一项得2分，最高得6分，不提供不得分。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不高于最高限价，且经磋商小组评审不低于成本价的最终磋商报价为有效磋商报价。 (2) 满足竞争性磋商文件要求且磋商价格最低的最终磋商报价为磋商基准价，得满分 40分； (3) 磋商报价得分=(磋商基准价／最终磋商报价)×40%×100。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详见附件：法定代表人授权委托书.pdf</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详见附件：政府采购供应商拒绝政府采购领域商业贿赂承诺书.pdf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详见附件：《建设工程施工合同（示范文本）》（GF-2017-0201）.docx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