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版本号：ZCSP-渭南市-2025-0058220250714001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渭南市防洪规划（北洛河流域）和渭南市防洪规划（渭河流域）编制项目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ZCSP-渭南市-2025-00582</w:t>
      </w:r>
      <w:r>
        <w:br/>
      </w:r>
      <w:r>
        <w:br/>
      </w:r>
      <w:r>
        <w:br/>
      </w:r>
    </w:p>
    <w:p>
      <w:pPr>
        <w:pStyle w:val="null3"/>
        <w:jc w:val="center"/>
        <w:outlineLvl w:val="2"/>
      </w:pPr>
      <w:r>
        <w:rPr>
          <w:rFonts w:ascii="仿宋_GB2312" w:hAnsi="仿宋_GB2312" w:cs="仿宋_GB2312" w:eastAsia="仿宋_GB2312"/>
          <w:sz w:val="28"/>
          <w:b/>
        </w:rPr>
        <w:t>渭南市水务局</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渭南市水务局</w:t>
      </w:r>
      <w:r>
        <w:rPr>
          <w:rFonts w:ascii="仿宋_GB2312" w:hAnsi="仿宋_GB2312" w:cs="仿宋_GB2312" w:eastAsia="仿宋_GB2312"/>
        </w:rPr>
        <w:t>委托，拟对</w:t>
      </w:r>
      <w:r>
        <w:rPr>
          <w:rFonts w:ascii="仿宋_GB2312" w:hAnsi="仿宋_GB2312" w:cs="仿宋_GB2312" w:eastAsia="仿宋_GB2312"/>
        </w:rPr>
        <w:t>渭南市防洪规划（北洛河流域）和渭南市防洪规划（渭河流域）编制项目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ZCSP-渭南市-2025-00582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渭南市防洪规划（北洛河流域）和渭南市防洪规划（渭河流域）编制项目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构建与新阶段高质量发展相适应的防洪总体方略和目标，优化防洪减灾体系布局，科学制定流域防洪治理方案、防洪工程措施和防洪管理措施，完善防洪体系建设，提高防洪能力和水安全保障能力，促进区域经济社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1、营业执照等证明文件：合法有效，具有独立承担民事责任的能力且具备向采购人提供相关服务的企业法人、事业法人、其他组织或者自然人</w:t>
      </w:r>
    </w:p>
    <w:p>
      <w:pPr>
        <w:pStyle w:val="null3"/>
      </w:pPr>
      <w:r>
        <w:rPr>
          <w:rFonts w:ascii="仿宋_GB2312" w:hAnsi="仿宋_GB2312" w:cs="仿宋_GB2312" w:eastAsia="仿宋_GB2312"/>
        </w:rPr>
        <w:t>2、法定代表人（负责人）或授权代表身份证明：法定代表人参加磋商的，须出具法定代表人身份证明和身份证（正反面）复印件；授权委托代理人参加磋商的，须出具委托授权书，并附法定代表人和委托代理人身份证（正反面）复印件</w:t>
      </w:r>
    </w:p>
    <w:p>
      <w:pPr>
        <w:pStyle w:val="null3"/>
      </w:pPr>
      <w:r>
        <w:rPr>
          <w:rFonts w:ascii="仿宋_GB2312" w:hAnsi="仿宋_GB2312" w:cs="仿宋_GB2312" w:eastAsia="仿宋_GB2312"/>
        </w:rPr>
        <w:t>3、企业资质：供应商须具备水利行业设计乙级及以上资质，具有类似相关业绩</w:t>
      </w:r>
    </w:p>
    <w:p>
      <w:pPr>
        <w:pStyle w:val="null3"/>
      </w:pPr>
      <w:r>
        <w:rPr>
          <w:rFonts w:ascii="仿宋_GB2312" w:hAnsi="仿宋_GB2312" w:cs="仿宋_GB2312" w:eastAsia="仿宋_GB2312"/>
        </w:rPr>
        <w:t>4、磋商保证金：磋商保证金交纳凭证或担保机构出具的保函</w:t>
      </w:r>
    </w:p>
    <w:p>
      <w:pPr>
        <w:pStyle w:val="null3"/>
      </w:pPr>
      <w:r>
        <w:rPr>
          <w:rFonts w:ascii="仿宋_GB2312" w:hAnsi="仿宋_GB2312" w:cs="仿宋_GB2312" w:eastAsia="仿宋_GB2312"/>
        </w:rPr>
        <w:t>5、信用信息：供应商不得为“信用中国”网站(www.creditchina.gov.cn)中列入失信被执行人和税收违法黑名单的供应商，不得为中国政府采购网(www.ccgp.gov.cn)政府采购严重违法失信行为记录名单中被财政部门禁止参加政府采购活动的供应商（提供查询结果网页截图并加盖供应商公章，查询日期为公告发布之日起至磋商响应截止日止）</w:t>
      </w:r>
    </w:p>
    <w:p>
      <w:pPr>
        <w:pStyle w:val="null3"/>
      </w:pPr>
      <w:r>
        <w:rPr>
          <w:rFonts w:ascii="仿宋_GB2312" w:hAnsi="仿宋_GB2312" w:cs="仿宋_GB2312" w:eastAsia="仿宋_GB2312"/>
        </w:rPr>
        <w:t>6、联合体磋商：本项目不接受联合体磋商。</w:t>
      </w:r>
    </w:p>
    <w:p>
      <w:pPr>
        <w:pStyle w:val="null3"/>
      </w:pPr>
      <w:r>
        <w:rPr>
          <w:rFonts w:ascii="仿宋_GB2312" w:hAnsi="仿宋_GB2312" w:cs="仿宋_GB2312" w:eastAsia="仿宋_GB2312"/>
        </w:rPr>
        <w:t>7、控股关系：控股关系单位负责人为同一人或者存在直接控股、管理关系的不同供应商，不得参加本次采购活动。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渭南市水务局经办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18710924992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0913-2023388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 1015 2010 9000 0920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中国招标投标协会关于贯彻&lt;国家发展改革委关于进一步放开建设项目专业服务价格的通知&gt;（发改价格〔2015〕299号）的指导意见》的要求、经双方协商，代理费参照【国家发改委发改价格（2011）534号文件】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渭南市水务局</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乙方完成相关服务工作、出具服务成果正式文件及要求提供的其他相关资料后，进行履约验收。 2.合同、竞争性磋商文件、响应文件及承诺。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联系人：邱晓艳</w:t>
      </w:r>
    </w:p>
    <w:p>
      <w:pPr>
        <w:pStyle w:val="null3"/>
      </w:pPr>
      <w:r>
        <w:rPr>
          <w:rFonts w:ascii="仿宋_GB2312" w:hAnsi="仿宋_GB2312" w:cs="仿宋_GB2312" w:eastAsia="仿宋_GB2312"/>
        </w:rPr>
        <w:t>联系电话：0913-2023388</w:t>
      </w:r>
    </w:p>
    <w:p>
      <w:pPr>
        <w:pStyle w:val="null3"/>
      </w:pPr>
      <w:r>
        <w:rPr>
          <w:rFonts w:ascii="仿宋_GB2312" w:hAnsi="仿宋_GB2312" w:cs="仿宋_GB2312" w:eastAsia="仿宋_GB2312"/>
        </w:rPr>
        <w:t>地址：渭南市朝阳大街中段审计大厦八层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构建与新阶段高质量发展相适应的防洪总体方略和目标，优化防洪减灾体系布局，科学制定流域防洪治理方案、防洪工程措施和防洪管理措施，完善防洪体系建设，提高防洪能力和水安全保障能力，促进区域经济社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渭南市防洪规划（北洛河流域）和渭南市防洪规划（渭河流域）编制项目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标的名称：渭南市防洪规划（北洛河流域）和渭南市防洪规划（渭河流域）编制项目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7"/>
              </w:rPr>
              <w:t>一、基本要求</w:t>
            </w:r>
          </w:p>
          <w:p>
            <w:pPr>
              <w:pStyle w:val="null3"/>
              <w:ind w:firstLine="640"/>
              <w:jc w:val="both"/>
            </w:pPr>
            <w:r>
              <w:rPr>
                <w:rFonts w:ascii="仿宋_GB2312" w:hAnsi="仿宋_GB2312" w:cs="仿宋_GB2312" w:eastAsia="仿宋_GB2312"/>
                <w:sz w:val="27"/>
              </w:rPr>
              <w:t>1.功能要求：认真贯彻落实国家新时期治水思路，以构建高质量、高标准、现代化的流域防洪减灾体系为目标，在全面评价流域防洪建设现状和防洪减灾能力的基础上，查找存在的薄弱环节和短板差距。</w:t>
            </w:r>
          </w:p>
          <w:p>
            <w:pPr>
              <w:pStyle w:val="null3"/>
              <w:ind w:firstLine="640"/>
              <w:jc w:val="both"/>
            </w:pPr>
            <w:r>
              <w:rPr>
                <w:rFonts w:ascii="仿宋_GB2312" w:hAnsi="仿宋_GB2312" w:cs="仿宋_GB2312" w:eastAsia="仿宋_GB2312"/>
                <w:sz w:val="27"/>
              </w:rPr>
              <w:t>2.具体要求</w:t>
            </w:r>
          </w:p>
          <w:p>
            <w:pPr>
              <w:pStyle w:val="null3"/>
              <w:ind w:firstLine="640"/>
              <w:jc w:val="both"/>
            </w:pPr>
            <w:r>
              <w:rPr>
                <w:rFonts w:ascii="仿宋_GB2312" w:hAnsi="仿宋_GB2312" w:cs="仿宋_GB2312" w:eastAsia="仿宋_GB2312"/>
                <w:sz w:val="27"/>
              </w:rPr>
              <w:t>本项目主要以构建与新阶段高质量发展相适应的防洪总体方略和目标，优化防洪减灾体系布局，科学制定流域防洪治理方案、防洪工程措施和防洪管理措施，完善防洪体系建设，提高防洪能力和水安全保障能力，促进区域经济社会高质量发展。</w:t>
            </w:r>
          </w:p>
          <w:p>
            <w:pPr>
              <w:pStyle w:val="null3"/>
              <w:ind w:firstLine="640"/>
              <w:jc w:val="both"/>
            </w:pPr>
            <w:r>
              <w:rPr>
                <w:rFonts w:ascii="仿宋_GB2312" w:hAnsi="仿宋_GB2312" w:cs="仿宋_GB2312" w:eastAsia="仿宋_GB2312"/>
                <w:sz w:val="27"/>
              </w:rPr>
              <w:t>3.</w:t>
            </w:r>
            <w:r>
              <w:rPr>
                <w:rFonts w:ascii="仿宋_GB2312" w:hAnsi="仿宋_GB2312" w:cs="仿宋_GB2312" w:eastAsia="仿宋_GB2312"/>
                <w:sz w:val="27"/>
              </w:rPr>
              <w:t>服务期限：自合同签订之日起90日历天。</w:t>
            </w:r>
          </w:p>
          <w:p>
            <w:pPr>
              <w:pStyle w:val="null3"/>
              <w:ind w:firstLine="640"/>
              <w:jc w:val="both"/>
            </w:pPr>
            <w:r>
              <w:rPr>
                <w:rFonts w:ascii="仿宋_GB2312" w:hAnsi="仿宋_GB2312" w:cs="仿宋_GB2312" w:eastAsia="仿宋_GB2312"/>
                <w:sz w:val="27"/>
              </w:rPr>
              <w:t>4.服务地点：渭南市</w:t>
            </w:r>
          </w:p>
          <w:p>
            <w:pPr>
              <w:pStyle w:val="null3"/>
              <w:ind w:firstLine="640"/>
              <w:jc w:val="both"/>
            </w:pPr>
            <w:r>
              <w:rPr>
                <w:rFonts w:ascii="仿宋_GB2312" w:hAnsi="仿宋_GB2312" w:cs="仿宋_GB2312" w:eastAsia="仿宋_GB2312"/>
                <w:sz w:val="27"/>
              </w:rPr>
              <w:t>5.</w:t>
            </w:r>
            <w:r>
              <w:rPr>
                <w:rFonts w:ascii="仿宋_GB2312" w:hAnsi="仿宋_GB2312" w:cs="仿宋_GB2312" w:eastAsia="仿宋_GB2312"/>
                <w:sz w:val="27"/>
              </w:rPr>
              <w:t>是否专门面向中小企业采购：非专门面向中小型企业.</w:t>
            </w:r>
          </w:p>
          <w:p>
            <w:pPr>
              <w:pStyle w:val="null3"/>
              <w:ind w:firstLine="640"/>
              <w:jc w:val="both"/>
            </w:pPr>
            <w:r>
              <w:rPr>
                <w:rFonts w:ascii="仿宋_GB2312" w:hAnsi="仿宋_GB2312" w:cs="仿宋_GB2312" w:eastAsia="仿宋_GB2312"/>
                <w:sz w:val="27"/>
              </w:rPr>
              <w:t>二、需执行的国家相关标准、行业标准、地方标准或者其他标准、规范标准</w:t>
            </w:r>
          </w:p>
          <w:p>
            <w:pPr>
              <w:pStyle w:val="null3"/>
              <w:ind w:firstLine="640"/>
              <w:jc w:val="both"/>
            </w:pPr>
            <w:r>
              <w:rPr>
                <w:rFonts w:ascii="仿宋_GB2312" w:hAnsi="仿宋_GB2312" w:cs="仿宋_GB2312" w:eastAsia="仿宋_GB2312"/>
                <w:sz w:val="27"/>
              </w:rPr>
              <w:t>1、中共中央、国务院《乡村振兴战略规划（2018－2022年）》;</w:t>
            </w:r>
          </w:p>
          <w:p>
            <w:pPr>
              <w:pStyle w:val="null3"/>
              <w:ind w:firstLine="640"/>
              <w:jc w:val="both"/>
            </w:pPr>
            <w:r>
              <w:rPr>
                <w:rFonts w:ascii="仿宋_GB2312" w:hAnsi="仿宋_GB2312" w:cs="仿宋_GB2312" w:eastAsia="仿宋_GB2312"/>
                <w:sz w:val="27"/>
              </w:rPr>
              <w:t>2、《中华人民共和国国民经济和社会发展第十四个五年规划和2035年远景目标纲要》;</w:t>
            </w:r>
          </w:p>
          <w:p>
            <w:pPr>
              <w:pStyle w:val="null3"/>
              <w:ind w:firstLine="640"/>
              <w:jc w:val="both"/>
            </w:pPr>
            <w:r>
              <w:rPr>
                <w:rFonts w:ascii="仿宋_GB2312" w:hAnsi="仿宋_GB2312" w:cs="仿宋_GB2312" w:eastAsia="仿宋_GB2312"/>
                <w:sz w:val="27"/>
              </w:rPr>
              <w:t>3、《黄河流域生态保护和高质量发展规划纲要》（2021年10月8日）;</w:t>
            </w:r>
          </w:p>
          <w:p>
            <w:pPr>
              <w:pStyle w:val="null3"/>
              <w:ind w:firstLine="640"/>
              <w:jc w:val="both"/>
            </w:pPr>
            <w:r>
              <w:rPr>
                <w:rFonts w:ascii="仿宋_GB2312" w:hAnsi="仿宋_GB2312" w:cs="仿宋_GB2312" w:eastAsia="仿宋_GB2312"/>
                <w:sz w:val="27"/>
              </w:rPr>
              <w:t>4、《国家水网建设规划纲要》（2023年5月25日）;</w:t>
            </w:r>
          </w:p>
          <w:p>
            <w:pPr>
              <w:pStyle w:val="null3"/>
              <w:ind w:firstLine="640"/>
              <w:jc w:val="both"/>
            </w:pPr>
            <w:r>
              <w:rPr>
                <w:rFonts w:ascii="仿宋_GB2312" w:hAnsi="仿宋_GB2312" w:cs="仿宋_GB2312" w:eastAsia="仿宋_GB2312"/>
                <w:sz w:val="27"/>
              </w:rPr>
              <w:t>5、发展改革委、水利部《国家节水行动方案》的通知（发改环资规〔2019〕695号）;</w:t>
            </w:r>
          </w:p>
          <w:p>
            <w:pPr>
              <w:pStyle w:val="null3"/>
              <w:ind w:firstLine="640"/>
              <w:jc w:val="both"/>
            </w:pPr>
            <w:r>
              <w:rPr>
                <w:rFonts w:ascii="仿宋_GB2312" w:hAnsi="仿宋_GB2312" w:cs="仿宋_GB2312" w:eastAsia="仿宋_GB2312"/>
                <w:sz w:val="27"/>
              </w:rPr>
              <w:t>6、国家发展改革委关于印发《关中平原城市群建设“十四五”实施方案》的通知（发改规划〔2022〕979号）;</w:t>
            </w:r>
          </w:p>
          <w:p>
            <w:pPr>
              <w:pStyle w:val="null3"/>
              <w:ind w:firstLine="640"/>
              <w:jc w:val="both"/>
            </w:pPr>
            <w:r>
              <w:rPr>
                <w:rFonts w:ascii="仿宋_GB2312" w:hAnsi="仿宋_GB2312" w:cs="仿宋_GB2312" w:eastAsia="仿宋_GB2312"/>
                <w:sz w:val="27"/>
              </w:rPr>
              <w:t>7、《中华人民共和国水法》;</w:t>
            </w:r>
          </w:p>
          <w:p>
            <w:pPr>
              <w:pStyle w:val="null3"/>
              <w:ind w:firstLine="640"/>
              <w:jc w:val="both"/>
            </w:pPr>
            <w:r>
              <w:rPr>
                <w:rFonts w:ascii="仿宋_GB2312" w:hAnsi="仿宋_GB2312" w:cs="仿宋_GB2312" w:eastAsia="仿宋_GB2312"/>
                <w:sz w:val="27"/>
              </w:rPr>
              <w:t>8、《中华人民共和国防洪法》;</w:t>
            </w:r>
          </w:p>
          <w:p>
            <w:pPr>
              <w:pStyle w:val="null3"/>
              <w:ind w:firstLine="640"/>
              <w:jc w:val="both"/>
            </w:pPr>
            <w:r>
              <w:rPr>
                <w:rFonts w:ascii="仿宋_GB2312" w:hAnsi="仿宋_GB2312" w:cs="仿宋_GB2312" w:eastAsia="仿宋_GB2312"/>
                <w:sz w:val="27"/>
              </w:rPr>
              <w:t>9、《中华人民共和国水土保持法》;</w:t>
            </w:r>
          </w:p>
          <w:p>
            <w:pPr>
              <w:pStyle w:val="null3"/>
              <w:ind w:firstLine="640"/>
              <w:jc w:val="both"/>
            </w:pPr>
            <w:r>
              <w:rPr>
                <w:rFonts w:ascii="仿宋_GB2312" w:hAnsi="仿宋_GB2312" w:cs="仿宋_GB2312" w:eastAsia="仿宋_GB2312"/>
                <w:sz w:val="27"/>
              </w:rPr>
              <w:t>10、中华人民共和国水污染防治法》;</w:t>
            </w:r>
          </w:p>
          <w:p>
            <w:pPr>
              <w:pStyle w:val="null3"/>
              <w:ind w:firstLine="640"/>
              <w:jc w:val="both"/>
            </w:pPr>
            <w:r>
              <w:rPr>
                <w:rFonts w:ascii="仿宋_GB2312" w:hAnsi="仿宋_GB2312" w:cs="仿宋_GB2312" w:eastAsia="仿宋_GB2312"/>
                <w:sz w:val="27"/>
              </w:rPr>
              <w:t>11、陕西省水利厅、财政厅联合制定印发《陕西省中小河流治理总体方案》（2024年11月） ;</w:t>
            </w:r>
          </w:p>
          <w:p>
            <w:pPr>
              <w:pStyle w:val="null3"/>
              <w:ind w:firstLine="640"/>
              <w:jc w:val="both"/>
            </w:pPr>
            <w:r>
              <w:rPr>
                <w:rFonts w:ascii="仿宋_GB2312" w:hAnsi="仿宋_GB2312" w:cs="仿宋_GB2312" w:eastAsia="仿宋_GB2312"/>
                <w:sz w:val="27"/>
              </w:rPr>
              <w:t>12、中共陕西省委、陕西省人民政府印发《陕西省黄河流域生态保护和高质量发展规划》（2021年12月2日） ;</w:t>
            </w:r>
          </w:p>
          <w:p>
            <w:pPr>
              <w:pStyle w:val="null3"/>
              <w:ind w:firstLine="640"/>
              <w:jc w:val="both"/>
            </w:pPr>
            <w:r>
              <w:rPr>
                <w:rFonts w:ascii="仿宋_GB2312" w:hAnsi="仿宋_GB2312" w:cs="仿宋_GB2312" w:eastAsia="仿宋_GB2312"/>
                <w:sz w:val="27"/>
              </w:rPr>
              <w:t>13、陕西省人民政府关于《陕西省水网建设规划》的批复（陕政函〔2023〕181号）省级相关法规、政策和规划;</w:t>
            </w:r>
          </w:p>
          <w:p>
            <w:pPr>
              <w:pStyle w:val="null3"/>
              <w:ind w:firstLine="640"/>
              <w:jc w:val="both"/>
            </w:pPr>
            <w:r>
              <w:rPr>
                <w:rFonts w:ascii="仿宋_GB2312" w:hAnsi="仿宋_GB2312" w:cs="仿宋_GB2312" w:eastAsia="仿宋_GB2312"/>
                <w:sz w:val="27"/>
              </w:rPr>
              <w:t>14、渭南市人民政府《关于印发国民经济和社会发展第十五个五年规划编制工作总体方案的通知》（渭政发〔2025〕7号）；</w:t>
            </w:r>
          </w:p>
          <w:p>
            <w:pPr>
              <w:pStyle w:val="null3"/>
              <w:ind w:firstLine="640"/>
              <w:jc w:val="both"/>
            </w:pPr>
            <w:r>
              <w:rPr>
                <w:rFonts w:ascii="仿宋_GB2312" w:hAnsi="仿宋_GB2312" w:cs="仿宋_GB2312" w:eastAsia="仿宋_GB2312"/>
                <w:sz w:val="27"/>
              </w:rPr>
              <w:t>15、渭南市人民政府《关于渭南市水网建设规划的批复》（渭政函〔2024〕76号）、市级相关法规和规划。</w:t>
            </w:r>
          </w:p>
          <w:p>
            <w:pPr>
              <w:pStyle w:val="null3"/>
              <w:ind w:firstLine="640"/>
              <w:jc w:val="both"/>
            </w:pPr>
            <w:r>
              <w:rPr>
                <w:rFonts w:ascii="仿宋_GB2312" w:hAnsi="仿宋_GB2312" w:cs="仿宋_GB2312" w:eastAsia="仿宋_GB2312"/>
                <w:sz w:val="27"/>
              </w:rPr>
              <w:t>三、</w:t>
            </w:r>
            <w:r>
              <w:rPr>
                <w:rFonts w:ascii="仿宋_GB2312" w:hAnsi="仿宋_GB2312" w:cs="仿宋_GB2312" w:eastAsia="仿宋_GB2312"/>
                <w:sz w:val="27"/>
              </w:rPr>
              <w:t>质量标准：符合规划编制工作要求，通过行业（水行政）主管部门组织审查并按照审查意见修改完成，并按程序印发。</w:t>
            </w:r>
          </w:p>
          <w:p>
            <w:pPr>
              <w:pStyle w:val="null3"/>
              <w:ind w:firstLine="64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国家相关标准、行业标准、地方标准或者其他标准、规范。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合同签订后首次支付合同价款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报告编制完成并通过技术审查后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审批通过交付成果后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的相关条款和本合同约定，乙方未全面履行合同义务或拒绝继续履行合同义务，造成活动延误或给甲方带来经济损失，甲方有权单方终止合同，并向乙方索赔。甲方违约的，应赔偿乙方的直接经济损失。 解决争议的方法：在履行本合同期间若发生争议，甲、乙双方应友好协商解决。若协商不成，任何一方均可向甲方所在地有管辖权的人民法院提起诉讼。 合同未尽事宜，由甲乙双方协商，补充条款跟原合同同等法律效 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本项目是否专门面向中小企业采购</w:t>
            </w:r>
          </w:p>
        </w:tc>
        <w:tc>
          <w:tcPr>
            <w:tcW w:type="dxa" w:w="3322"/>
          </w:tcPr>
          <w:p>
            <w:pPr>
              <w:pStyle w:val="null3"/>
            </w:pPr>
            <w:r>
              <w:rPr>
                <w:rFonts w:ascii="仿宋_GB2312" w:hAnsi="仿宋_GB2312" w:cs="仿宋_GB2312" w:eastAsia="仿宋_GB2312"/>
              </w:rPr>
              <w:t>本项目非专门面向中小企业采购，所属行业：其他未列明行业。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合法有效，具有独立承担民事责任的能力且具备向采购人提供相关服务的企业法人、事业法人、其他组织或者自然人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法定代表人参加磋商的，须出具法定代表人身份证明和身份证（正反面）复印件；授权委托代理人参加磋商的，须出具委托授权书，并附法定代表人和委托代理人身份证（正反面）复印件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供应商须具备水利行业设计乙级及以上资质，具有类似相关业绩</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磋商保证金交纳凭证或担保机构出具的保函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税收违法黑名单的供应商，不得为中国政府采购网(www.ccgp.gov.cn)政府采购严重违法失信行为记录名单中被财政部门禁止参加政府采购活动的供应商（提供查询结果网页截图并加盖供应商公章，查询日期为公告发布之日起至磋商响应截止日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控股关系单位负责人为同一人或者存在直接控股、管理关系的不同供应商，不得参加本次采购活动。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响应文件签章及格式响应</w:t>
            </w:r>
          </w:p>
        </w:tc>
        <w:tc>
          <w:tcPr>
            <w:tcW w:type="dxa" w:w="3322"/>
          </w:tcPr>
          <w:p>
            <w:pPr>
              <w:pStyle w:val="null3"/>
            </w:pPr>
            <w:r>
              <w:rPr>
                <w:rFonts w:ascii="仿宋_GB2312" w:hAnsi="仿宋_GB2312" w:cs="仿宋_GB2312" w:eastAsia="仿宋_GB2312"/>
              </w:rPr>
              <w:t>响应文件签章及格式满足磋商文件的要求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标的清单 商务应答表.docx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供应商磋商报价未超出采购预算或最高限价。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服务内容及服务邀请应答表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服务内容及服务邀请应答表 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服务内容及服务邀请应答表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实施总体方案编制</w:t>
            </w:r>
          </w:p>
        </w:tc>
        <w:tc>
          <w:tcPr>
            <w:tcW w:type="dxa" w:w="2492"/>
          </w:tcPr>
          <w:p>
            <w:pPr>
              <w:pStyle w:val="null3"/>
            </w:pPr>
            <w:r>
              <w:rPr>
                <w:rFonts w:ascii="仿宋_GB2312" w:hAnsi="仿宋_GB2312" w:cs="仿宋_GB2312" w:eastAsia="仿宋_GB2312"/>
              </w:rPr>
              <w:t>1.针对本项目采购需求理念超前，编制思路清晰，满足采购需求计16.1-20分； 2.针对本项目采购需求思路可行，内容基本完善计12.1-16分； 3.编制思路理念落后或于本项目适用性差计0.1-12分； 4.未提供不计分。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针对本项目提供的规划编制服务方案</w:t>
            </w:r>
          </w:p>
        </w:tc>
        <w:tc>
          <w:tcPr>
            <w:tcW w:type="dxa" w:w="2492"/>
          </w:tcPr>
          <w:p>
            <w:pPr>
              <w:pStyle w:val="null3"/>
            </w:pPr>
            <w:r>
              <w:rPr>
                <w:rFonts w:ascii="仿宋_GB2312" w:hAnsi="仿宋_GB2312" w:cs="仿宋_GB2312" w:eastAsia="仿宋_GB2312"/>
              </w:rPr>
              <w:t>1.方案内容全面完善、满足采购需求计11.1-14分； 2.方案内容全面，不完善计8.1-11分； 3.方案内容不全面或不适用于本项目计0.1-8分； 4.未提供不计分。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1.能够提出本项目实施过程中可能遇见的重点、难点，对本项目适用性强，并提供针对性强的措施及有效的解决方案计7.1-9分； 2.能够提出本项目实施过程中可能遇见的重点、难点，但对本项目适用性不很强，未提供针对性的措施或有效的解决方案计4.1-7分； 3.提出本项目实施过程中可能遇见的重点、难点不适用，或无针对性的措施或解决方案计0.1-4分； 4.未提供不计分。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项目进度安排及成果递交</w:t>
            </w:r>
          </w:p>
        </w:tc>
        <w:tc>
          <w:tcPr>
            <w:tcW w:type="dxa" w:w="2492"/>
          </w:tcPr>
          <w:p>
            <w:pPr>
              <w:pStyle w:val="null3"/>
            </w:pPr>
            <w:r>
              <w:rPr>
                <w:rFonts w:ascii="仿宋_GB2312" w:hAnsi="仿宋_GB2312" w:cs="仿宋_GB2312" w:eastAsia="仿宋_GB2312"/>
              </w:rPr>
              <w:t>1.针对本项目有详细的项目进度安排，工作安排完整详尽，能确保按期完成成果递交计5.1-7分； 2.针对本项目有项目进度安排，工作安排基本完整和明确计3.1-5分；3.项目进度安排不合理，难以保证按期完成成果递交的计0.1-3分； 4.未提供项目进度安排不计分。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本项目要求阐述服务质量保障措施及所配备的专业设施设备等。设施设备有保障，服务质量的保障措施科学合理、具体可行得5.1-7分；设施设备满足项目需求，保障措施基本合理得3.1-5分；配有设施设备，但保障措施简单、不利于项目实施得0.1-3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团队人员配置 （1）</w:t>
            </w:r>
          </w:p>
        </w:tc>
        <w:tc>
          <w:tcPr>
            <w:tcW w:type="dxa" w:w="2492"/>
          </w:tcPr>
          <w:p>
            <w:pPr>
              <w:pStyle w:val="null3"/>
            </w:pPr>
            <w:r>
              <w:rPr>
                <w:rFonts w:ascii="仿宋_GB2312" w:hAnsi="仿宋_GB2312" w:cs="仿宋_GB2312" w:eastAsia="仿宋_GB2312"/>
              </w:rPr>
              <w:t>团队人员配置（项目负责人除外）：人员配备齐全、结构合理、职责清晰，完全满足得[2.1-3]分；基本满足得[1.1-2]分；不满足不得分。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团队人员配置（2）</w:t>
            </w:r>
          </w:p>
        </w:tc>
        <w:tc>
          <w:tcPr>
            <w:tcW w:type="dxa" w:w="2492"/>
          </w:tcPr>
          <w:p>
            <w:pPr>
              <w:pStyle w:val="null3"/>
            </w:pPr>
            <w:r>
              <w:rPr>
                <w:rFonts w:ascii="仿宋_GB2312" w:hAnsi="仿宋_GB2312" w:cs="仿宋_GB2312" w:eastAsia="仿宋_GB2312"/>
              </w:rPr>
              <w:t>团队人员配置（项目负责人除外）： 团队其他人员每具有一名中级职称的得 0.5 分，高级及以上职称得 1 分,本项最多得5分。（团队人员须提供职称证书复印件并加盖公章）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须为供应商在职人员（提供社保缴纳证明），否则不计分。 1.项目负责人具有高级技术职称计3分，中级技术职称计1分，中级职称以下不计分。（职称证明材料需提供职称证书复印件加盖公章） 2.项目负责人业绩：担任项目负责人每提供一项业绩计2分，参与类似项目每提供一项计1分，此项满分为4分。（业绩证明材料业绩需提供体现负责人姓名的合同或签署成果文件）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供应商提供2020年1月至开标前完成的业绩，每提供一项类似业绩计2分，最高计8分。（以合同签订日期为准，供应商须提供合同或中标（成交）通知书复印件加盖公章。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价格分统一采用低价优先法，即满足磋商文件要求且最后报价最低的供应商的价格为磋商基准价，其价格分为满分20 分。其他供应商的价格分统一按照下列公式计算：磋商报价得分＝（磋商基准价/最后磋商报价）×20％×100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