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版本号：ZCSP-渭南市-2025-0057820250714001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渭南市地下水超采区治理自评估报告编制项目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ZCSP-渭南市-2025-00578</w:t>
      </w:r>
      <w:r>
        <w:br/>
      </w:r>
      <w:r>
        <w:br/>
      </w:r>
      <w:r>
        <w:br/>
      </w:r>
    </w:p>
    <w:p>
      <w:pPr>
        <w:pStyle w:val="null3"/>
        <w:jc w:val="center"/>
        <w:outlineLvl w:val="2"/>
      </w:pPr>
      <w:r>
        <w:rPr>
          <w:rFonts w:ascii="仿宋_GB2312" w:hAnsi="仿宋_GB2312" w:cs="仿宋_GB2312" w:eastAsia="仿宋_GB2312"/>
          <w:sz w:val="28"/>
          <w:b/>
        </w:rPr>
        <w:t>渭南市水务局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渭南市水务局</w:t>
      </w:r>
      <w:r>
        <w:rPr>
          <w:rFonts w:ascii="仿宋_GB2312" w:hAnsi="仿宋_GB2312" w:cs="仿宋_GB2312" w:eastAsia="仿宋_GB2312"/>
        </w:rPr>
        <w:t>委托，拟对</w:t>
      </w:r>
      <w:r>
        <w:rPr>
          <w:rFonts w:ascii="仿宋_GB2312" w:hAnsi="仿宋_GB2312" w:cs="仿宋_GB2312" w:eastAsia="仿宋_GB2312"/>
        </w:rPr>
        <w:t>渭南市地下水超采区治理自评估报告编制项目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渭南市地下水超采区治理自评估报告编制项目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深入贯彻生态文明思想和关于治水重要论述精神，进一步落实《地下水管理条例》《地下水保护利用管理办法》等有关规定，及时掌握全市地下水超采区治理成效，切实推动新一轮地下水超采综合治理方案编制工作。跟踪掌握2016年以来地下水超采区治理目标、任务和措施完成情况，分析存在的问题与体制机制障碍，总结地下水超采区治理成效和经验，提出下一步超采区综合治理措施路径，推动地下水保护管理高质量发展取得新成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采购包1（渭南市地下水超采区治理自评估报告编制项目）：属于专门面向中小企业采购。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1、营业执照等证明文件：合法有效，具有独立承担民事责任的能力且具备向采购人提供相关服务的企业法人、事业法人、其他组织或者自然人</w:t>
      </w:r>
    </w:p>
    <w:p>
      <w:pPr>
        <w:pStyle w:val="null3"/>
      </w:pPr>
      <w:r>
        <w:rPr>
          <w:rFonts w:ascii="仿宋_GB2312" w:hAnsi="仿宋_GB2312" w:cs="仿宋_GB2312" w:eastAsia="仿宋_GB2312"/>
        </w:rPr>
        <w:t>2、法定代表人（负责人）或授权代表身份证明：法定代表人参加磋商的，须出具法定代表人身份证明和身份证（正反面）复印件；授权委托代理人参加磋商的，须出具委托授权书，并附法定代表人和委托代理人身份证（正反面）复印件</w:t>
      </w:r>
    </w:p>
    <w:p>
      <w:pPr>
        <w:pStyle w:val="null3"/>
      </w:pPr>
      <w:r>
        <w:rPr>
          <w:rFonts w:ascii="仿宋_GB2312" w:hAnsi="仿宋_GB2312" w:cs="仿宋_GB2312" w:eastAsia="仿宋_GB2312"/>
        </w:rPr>
        <w:t>3、资格要求：供应商近五年具有水文、水资源调查评价类似相关业绩</w:t>
      </w:r>
    </w:p>
    <w:p>
      <w:pPr>
        <w:pStyle w:val="null3"/>
      </w:pPr>
      <w:r>
        <w:rPr>
          <w:rFonts w:ascii="仿宋_GB2312" w:hAnsi="仿宋_GB2312" w:cs="仿宋_GB2312" w:eastAsia="仿宋_GB2312"/>
        </w:rPr>
        <w:t>4、项目负责人：项目负责人必须具备水利相关专业高级技术职称，并提供社保缴纳证明</w:t>
      </w:r>
    </w:p>
    <w:p>
      <w:pPr>
        <w:pStyle w:val="null3"/>
      </w:pPr>
      <w:r>
        <w:rPr>
          <w:rFonts w:ascii="仿宋_GB2312" w:hAnsi="仿宋_GB2312" w:cs="仿宋_GB2312" w:eastAsia="仿宋_GB2312"/>
        </w:rPr>
        <w:t>5、磋商保证金：磋商保证金交纳凭证或担保机构出具的保函</w:t>
      </w:r>
    </w:p>
    <w:p>
      <w:pPr>
        <w:pStyle w:val="null3"/>
      </w:pPr>
      <w:r>
        <w:rPr>
          <w:rFonts w:ascii="仿宋_GB2312" w:hAnsi="仿宋_GB2312" w:cs="仿宋_GB2312" w:eastAsia="仿宋_GB2312"/>
        </w:rPr>
        <w:t>6、信用信息：供应商不得为“信用中国”网站(www.creditchina.gov.cn)中列入失信被执行人和税收违法黑名单 的供应商，不得为中国政府采购网(www.ccgp.gov.cn)政府采购严重违法失信行为记录名单中被财 政部门禁止参加政府采购活动的供应商（提供查询结果网页截图并加盖供应商公章，查询日期为公 告发布之日起至磋商响应截止日止）</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8、控股关系：单位负责人为同一人或者存在直接控股、管理关系的不同供应商，不得参加本次采购活动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15029536593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邱晓艳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0913-2023388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 1015 2010 9000 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中国招标投标协会关于贯彻&lt;国家发展改革委关于进一步放开建设项目专业服务价格的通知&gt;（发改价格〔2015〕299号）的指导意见》的要求、经双方协商，代理费参照【国家发改委发改价格（2011）534号文件】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渭南市水务局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乙方完成相关服务工作、出具服务成果正式文件及要求提供的其他相关资料后，进行履约验收。 2.合同、竞争性磋商文件、响应文件及承诺。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联系人：邱晓艳</w:t>
      </w:r>
    </w:p>
    <w:p>
      <w:pPr>
        <w:pStyle w:val="null3"/>
      </w:pPr>
      <w:r>
        <w:rPr>
          <w:rFonts w:ascii="仿宋_GB2312" w:hAnsi="仿宋_GB2312" w:cs="仿宋_GB2312" w:eastAsia="仿宋_GB2312"/>
        </w:rPr>
        <w:t>联系电话：0913-2023388</w:t>
      </w:r>
    </w:p>
    <w:p>
      <w:pPr>
        <w:pStyle w:val="null3"/>
      </w:pPr>
      <w:r>
        <w:rPr>
          <w:rFonts w:ascii="仿宋_GB2312" w:hAnsi="仿宋_GB2312" w:cs="仿宋_GB2312" w:eastAsia="仿宋_GB2312"/>
        </w:rPr>
        <w:t>地址：渭南市朝阳大街中段审计大厦八层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深入贯彻生态文明思想和关于治水重要论述精神，进一步落实《地下水管理条例》《地下水保护利用管理办法》等有关规定，及时掌握全市地下水超采区治理成效，切实推动新一轮地下水超采综合治理方案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渭南市地下水超采区治理自评估报告编制项目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标的名称：渭南市地下水超采区治理自评估报告编制项目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4"/>
              </w:rPr>
              <w:t>一、基本要求</w:t>
            </w:r>
          </w:p>
          <w:p>
            <w:pPr>
              <w:pStyle w:val="null3"/>
              <w:ind w:firstLine="640"/>
              <w:jc w:val="both"/>
            </w:pPr>
            <w:r>
              <w:rPr>
                <w:rFonts w:ascii="仿宋_GB2312" w:hAnsi="仿宋_GB2312" w:cs="仿宋_GB2312" w:eastAsia="仿宋_GB2312"/>
                <w:sz w:val="24"/>
              </w:rPr>
              <w:t>1、功能要求：深入贯彻生态文明思想和关于治水重要论述精神，进一步落实《地下水管理条例》《地下水保护利用管理办法》等有关规定，及时掌握全市地下水超采区治理成效，切实推动新一轮地下水超采综合治理方案编制工作.</w:t>
            </w:r>
          </w:p>
          <w:p>
            <w:pPr>
              <w:pStyle w:val="null3"/>
              <w:ind w:firstLine="640"/>
              <w:jc w:val="both"/>
            </w:pPr>
            <w:r>
              <w:rPr>
                <w:rFonts w:ascii="仿宋_GB2312" w:hAnsi="仿宋_GB2312" w:cs="仿宋_GB2312" w:eastAsia="仿宋_GB2312"/>
                <w:sz w:val="24"/>
              </w:rPr>
              <w:t>2、具体要求:跟踪掌握2016年以来地下水超采区治理目标、任务和措施完成情况，分析存在的问题与体制机制障碍，总结地下水超采区治理成效和经验，提出下一步超采区综合治理措施路径，推动地下水保护管理高质量发展取得新成效。</w:t>
            </w:r>
          </w:p>
          <w:p>
            <w:pPr>
              <w:pStyle w:val="null3"/>
              <w:ind w:firstLine="640"/>
              <w:jc w:val="both"/>
            </w:pPr>
            <w:r>
              <w:rPr>
                <w:rFonts w:ascii="仿宋_GB2312" w:hAnsi="仿宋_GB2312" w:cs="仿宋_GB2312" w:eastAsia="仿宋_GB2312"/>
                <w:sz w:val="24"/>
              </w:rPr>
              <w:t>3、服务期限：自合同签订之日起60日历天。</w:t>
            </w:r>
          </w:p>
          <w:p>
            <w:pPr>
              <w:pStyle w:val="null3"/>
              <w:ind w:firstLine="640"/>
              <w:jc w:val="both"/>
            </w:pPr>
            <w:r>
              <w:rPr>
                <w:rFonts w:ascii="仿宋_GB2312" w:hAnsi="仿宋_GB2312" w:cs="仿宋_GB2312" w:eastAsia="仿宋_GB2312"/>
                <w:sz w:val="24"/>
              </w:rPr>
              <w:t>4、服务地点：渭南市。</w:t>
            </w:r>
          </w:p>
          <w:p>
            <w:pPr>
              <w:pStyle w:val="null3"/>
              <w:ind w:firstLine="640"/>
              <w:jc w:val="both"/>
            </w:pPr>
            <w:r>
              <w:rPr>
                <w:rFonts w:ascii="仿宋_GB2312" w:hAnsi="仿宋_GB2312" w:cs="仿宋_GB2312" w:eastAsia="仿宋_GB2312"/>
                <w:sz w:val="24"/>
              </w:rPr>
              <w:t>5、 是否专门面向中小企业采购：专门面向中小企业采购。</w:t>
            </w:r>
          </w:p>
          <w:p>
            <w:pPr>
              <w:pStyle w:val="null3"/>
              <w:ind w:firstLine="640"/>
              <w:jc w:val="both"/>
            </w:pPr>
            <w:r>
              <w:rPr>
                <w:rFonts w:ascii="仿宋_GB2312" w:hAnsi="仿宋_GB2312" w:cs="仿宋_GB2312" w:eastAsia="仿宋_GB2312"/>
                <w:sz w:val="24"/>
              </w:rPr>
              <w:t>二、需执行的国家相关标准、行业标准、地方标准或者其他标准、规范标准</w:t>
            </w:r>
          </w:p>
          <w:p>
            <w:pPr>
              <w:pStyle w:val="null3"/>
              <w:ind w:firstLine="640"/>
              <w:jc w:val="both"/>
            </w:pPr>
            <w:r>
              <w:rPr>
                <w:rFonts w:ascii="仿宋_GB2312" w:hAnsi="仿宋_GB2312" w:cs="仿宋_GB2312" w:eastAsia="仿宋_GB2312"/>
                <w:sz w:val="24"/>
              </w:rPr>
              <w:t>1、《中华人民共和国水法》;</w:t>
            </w:r>
          </w:p>
          <w:p>
            <w:pPr>
              <w:pStyle w:val="null3"/>
              <w:ind w:firstLine="640"/>
              <w:jc w:val="both"/>
            </w:pPr>
            <w:r>
              <w:rPr>
                <w:rFonts w:ascii="仿宋_GB2312" w:hAnsi="仿宋_GB2312" w:cs="仿宋_GB2312" w:eastAsia="仿宋_GB2312"/>
                <w:sz w:val="24"/>
              </w:rPr>
              <w:t>2、《中华人民共和国水污染防治法》；</w:t>
            </w:r>
          </w:p>
          <w:p>
            <w:pPr>
              <w:pStyle w:val="null3"/>
              <w:ind w:firstLine="640"/>
              <w:jc w:val="both"/>
            </w:pPr>
            <w:r>
              <w:rPr>
                <w:rFonts w:ascii="仿宋_GB2312" w:hAnsi="仿宋_GB2312" w:cs="仿宋_GB2312" w:eastAsia="仿宋_GB2312"/>
                <w:sz w:val="24"/>
              </w:rPr>
              <w:t>3、《中华人民共和国防洪法》;</w:t>
            </w:r>
          </w:p>
          <w:p>
            <w:pPr>
              <w:pStyle w:val="null3"/>
              <w:ind w:firstLine="640"/>
              <w:jc w:val="both"/>
            </w:pPr>
            <w:r>
              <w:rPr>
                <w:rFonts w:ascii="仿宋_GB2312" w:hAnsi="仿宋_GB2312" w:cs="仿宋_GB2312" w:eastAsia="仿宋_GB2312"/>
                <w:sz w:val="24"/>
              </w:rPr>
              <w:t>4、《中华人民共和国水土保持法》;</w:t>
            </w:r>
          </w:p>
          <w:p>
            <w:pPr>
              <w:pStyle w:val="null3"/>
              <w:ind w:firstLine="640"/>
              <w:jc w:val="both"/>
            </w:pPr>
            <w:r>
              <w:rPr>
                <w:rFonts w:ascii="仿宋_GB2312" w:hAnsi="仿宋_GB2312" w:cs="仿宋_GB2312" w:eastAsia="仿宋_GB2312"/>
                <w:sz w:val="24"/>
              </w:rPr>
              <w:t>5、《中华人民共和国黄河保护法》;</w:t>
            </w:r>
          </w:p>
          <w:p>
            <w:pPr>
              <w:pStyle w:val="null3"/>
              <w:ind w:firstLine="640"/>
              <w:jc w:val="both"/>
            </w:pPr>
            <w:r>
              <w:rPr>
                <w:rFonts w:ascii="仿宋_GB2312" w:hAnsi="仿宋_GB2312" w:cs="仿宋_GB2312" w:eastAsia="仿宋_GB2312"/>
                <w:sz w:val="24"/>
              </w:rPr>
              <w:t>6、《地下水管理条例》;</w:t>
            </w:r>
          </w:p>
          <w:p>
            <w:pPr>
              <w:pStyle w:val="null3"/>
              <w:ind w:firstLine="640"/>
              <w:jc w:val="both"/>
            </w:pPr>
            <w:r>
              <w:rPr>
                <w:rFonts w:ascii="仿宋_GB2312" w:hAnsi="仿宋_GB2312" w:cs="仿宋_GB2312" w:eastAsia="仿宋_GB2312"/>
                <w:sz w:val="24"/>
              </w:rPr>
              <w:t>7、《节约用水条例》；</w:t>
            </w:r>
          </w:p>
          <w:p>
            <w:pPr>
              <w:pStyle w:val="null3"/>
              <w:ind w:firstLine="640"/>
              <w:jc w:val="both"/>
            </w:pPr>
            <w:r>
              <w:rPr>
                <w:rFonts w:ascii="仿宋_GB2312" w:hAnsi="仿宋_GB2312" w:cs="仿宋_GB2312" w:eastAsia="仿宋_GB2312"/>
                <w:sz w:val="24"/>
              </w:rPr>
              <w:t>8、《陕西省地下水条例》;</w:t>
            </w:r>
          </w:p>
          <w:p>
            <w:pPr>
              <w:pStyle w:val="null3"/>
              <w:ind w:firstLine="640"/>
              <w:jc w:val="both"/>
            </w:pPr>
            <w:r>
              <w:rPr>
                <w:rFonts w:ascii="仿宋_GB2312" w:hAnsi="仿宋_GB2312" w:cs="仿宋_GB2312" w:eastAsia="仿宋_GB2312"/>
                <w:sz w:val="24"/>
              </w:rPr>
              <w:t>9、《陕西省取水许可管理办法》（省政府218号令）；</w:t>
            </w:r>
          </w:p>
          <w:p>
            <w:pPr>
              <w:pStyle w:val="null3"/>
              <w:ind w:firstLine="640"/>
              <w:jc w:val="both"/>
            </w:pPr>
            <w:r>
              <w:rPr>
                <w:rFonts w:ascii="仿宋_GB2312" w:hAnsi="仿宋_GB2312" w:cs="仿宋_GB2312" w:eastAsia="仿宋_GB2312"/>
                <w:sz w:val="24"/>
              </w:rPr>
              <w:t>10、《陕西省节约用水管理办法》（陕西省人民政府令第231号）；</w:t>
            </w:r>
          </w:p>
          <w:p>
            <w:pPr>
              <w:pStyle w:val="null3"/>
              <w:ind w:firstLine="640"/>
              <w:jc w:val="both"/>
            </w:pPr>
            <w:r>
              <w:rPr>
                <w:rFonts w:ascii="仿宋_GB2312" w:hAnsi="仿宋_GB2312" w:cs="仿宋_GB2312" w:eastAsia="仿宋_GB2312"/>
                <w:sz w:val="24"/>
              </w:rPr>
              <w:t>11、《陕西省加强地下水保护管理工作若干措施》（陕政办发〔2024〕22号）；</w:t>
            </w:r>
          </w:p>
          <w:p>
            <w:pPr>
              <w:pStyle w:val="null3"/>
              <w:ind w:firstLine="640"/>
              <w:jc w:val="both"/>
            </w:pPr>
            <w:r>
              <w:rPr>
                <w:rFonts w:ascii="仿宋_GB2312" w:hAnsi="仿宋_GB2312" w:cs="仿宋_GB2312" w:eastAsia="仿宋_GB2312"/>
                <w:sz w:val="24"/>
              </w:rPr>
              <w:t>12、《陕西省地下水管控指标方案》（陕水函〔2023〕50号）；</w:t>
            </w:r>
          </w:p>
          <w:p>
            <w:pPr>
              <w:pStyle w:val="null3"/>
              <w:ind w:firstLine="640"/>
              <w:jc w:val="both"/>
            </w:pPr>
            <w:r>
              <w:rPr>
                <w:rFonts w:ascii="仿宋_GB2312" w:hAnsi="仿宋_GB2312" w:cs="仿宋_GB2312" w:eastAsia="仿宋_GB2312"/>
                <w:sz w:val="24"/>
              </w:rPr>
              <w:t>13、《渭南市水资源管理办法》（渭政办发〔2020〕29号）；</w:t>
            </w:r>
          </w:p>
          <w:p>
            <w:pPr>
              <w:pStyle w:val="null3"/>
              <w:ind w:firstLine="640"/>
              <w:jc w:val="both"/>
            </w:pPr>
            <w:r>
              <w:rPr>
                <w:rFonts w:ascii="仿宋_GB2312" w:hAnsi="仿宋_GB2312" w:cs="仿宋_GB2312" w:eastAsia="仿宋_GB2312"/>
                <w:sz w:val="24"/>
              </w:rPr>
              <w:t>14、《渭南市地下水保护管理办法》（渭政办发〔2020〕30号）</w:t>
            </w:r>
          </w:p>
          <w:p>
            <w:pPr>
              <w:pStyle w:val="null3"/>
              <w:ind w:firstLine="640"/>
              <w:jc w:val="both"/>
            </w:pPr>
            <w:r>
              <w:rPr>
                <w:rFonts w:ascii="仿宋_GB2312" w:hAnsi="仿宋_GB2312" w:cs="仿宋_GB2312" w:eastAsia="仿宋_GB2312"/>
                <w:sz w:val="24"/>
              </w:rPr>
              <w:t>15、渭南市级相关法规和规划。</w:t>
            </w:r>
          </w:p>
          <w:p>
            <w:pPr>
              <w:pStyle w:val="null3"/>
              <w:ind w:firstLine="640"/>
              <w:jc w:val="both"/>
            </w:pPr>
            <w:r>
              <w:rPr>
                <w:rFonts w:ascii="仿宋_GB2312" w:hAnsi="仿宋_GB2312" w:cs="仿宋_GB2312" w:eastAsia="仿宋_GB2312"/>
                <w:sz w:val="24"/>
              </w:rPr>
              <w:t>三、质量标准：符合评估报告工作要求，通过行业（水行政）主管部门组织审查。</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合同签订后首次支付合同价款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第二次支付在报告编制完成通过技术验收并交付成果后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 解决争议的方法：在履行本合同期间若发生争议，甲、乙双方应友好协商解决。若协商不成，任何一方均可向甲方所在地有管辖权的人民法院提起诉讼。 合同未尽事宜，由甲乙双方协商，补充条款跟原合同同等法律效力。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合法有效，具有独立承担民事责任的能力且具备向采购人提供相关服务的企业法人、事业法人、其他组织或者自然人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法定代表人参加磋商的，须出具法定代表人身份证明和身份证（正反面）复印件；授权委托代理人参加磋商的，须出具委托授权书，并附法定代表人和委托代理人身份证（正反面）复印件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供应商近五年具有水文、水资源调查评价类似相关业绩</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项目负责人必须具备水利相关专业高级技术职称，并提供社保缴纳证明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 的供应商，不得为中国政府采购网(www.ccgp.gov.cn)政府采购严重违法失信行为记录名单中被财 政部门禁止参加政府采购活动的供应商（提供查询结果网页截图并加盖供应商公章，查询日期为公 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响应文件签章及格式响应</w:t>
            </w:r>
          </w:p>
        </w:tc>
        <w:tc>
          <w:tcPr>
            <w:tcW w:type="dxa" w:w="3322"/>
          </w:tcPr>
          <w:p>
            <w:pPr>
              <w:pStyle w:val="null3"/>
            </w:pPr>
            <w:r>
              <w:rPr>
                <w:rFonts w:ascii="仿宋_GB2312" w:hAnsi="仿宋_GB2312" w:cs="仿宋_GB2312" w:eastAsia="仿宋_GB2312"/>
              </w:rPr>
              <w:t>响应文件签章及格式满足磋商文件的要求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标的清单 报价表 商务应答表.docx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服务内容及服务邀请应答表 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实施总体方案编制</w:t>
            </w:r>
          </w:p>
        </w:tc>
        <w:tc>
          <w:tcPr>
            <w:tcW w:type="dxa" w:w="2492"/>
          </w:tcPr>
          <w:p>
            <w:pPr>
              <w:pStyle w:val="null3"/>
            </w:pPr>
            <w:r>
              <w:rPr>
                <w:rFonts w:ascii="仿宋_GB2312" w:hAnsi="仿宋_GB2312" w:cs="仿宋_GB2312" w:eastAsia="仿宋_GB2312"/>
              </w:rPr>
              <w:t>1.针对本项目采购需求理念超前，编制思路清晰，满足采购需求计16.1-20分； 2.针对本项目采购需求思路可行，内容基本完善计12.1-16分； 3.编制思路理念落后或于本项目适用性差计0.1-12分； 4.未提供不计分。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针对本项目提供的评估报告编制方案</w:t>
            </w:r>
          </w:p>
        </w:tc>
        <w:tc>
          <w:tcPr>
            <w:tcW w:type="dxa" w:w="2492"/>
          </w:tcPr>
          <w:p>
            <w:pPr>
              <w:pStyle w:val="null3"/>
            </w:pPr>
            <w:r>
              <w:rPr>
                <w:rFonts w:ascii="仿宋_GB2312" w:hAnsi="仿宋_GB2312" w:cs="仿宋_GB2312" w:eastAsia="仿宋_GB2312"/>
              </w:rPr>
              <w:t>1.方案内容全面完善、满足采购需求计11.1-14分； 2.方案内容全面，不完善计8.1-11分； 3.方案内容不全面或不适用于本项目计0.1-8分； 4.未提供不计分。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1.能够提出本项目实施过程中可能遇见的重点、难点，对本项目适用性强，并提供针对性强的措施及有效的解决方案计7.1-9分； 2.能够提出本项目实施过程中可能遇见的重点、难点，但对本项目适用性不很强，未提供针对性的措施或有效的解决方案计4.1-7分； 3.提出本项目实施过程中可能遇见的重点、难点不适用，或无针对性的措施或解决方案计0.1-4分；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项目进度安排及成果递交</w:t>
            </w:r>
          </w:p>
        </w:tc>
        <w:tc>
          <w:tcPr>
            <w:tcW w:type="dxa" w:w="2492"/>
          </w:tcPr>
          <w:p>
            <w:pPr>
              <w:pStyle w:val="null3"/>
            </w:pPr>
            <w:r>
              <w:rPr>
                <w:rFonts w:ascii="仿宋_GB2312" w:hAnsi="仿宋_GB2312" w:cs="仿宋_GB2312" w:eastAsia="仿宋_GB2312"/>
              </w:rPr>
              <w:t>1.针对本项目有详细的项目进度安排，工作安排完整详尽，能确保按期完成成果递交计5.1-7分； 2.针对本项目有项目进度安排，工作安排基本完整和明确计3.1-5分； 3.项目进度安排不合理，难以保证按期完成成果递交的计0.1-3分； 4.未提供项目进度安排不计分。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质量保障措施及所配备的专业设施设备等。设施设备有保障，服务质量的保障措施科学合理、具体可行得5.1-7分；设施设备满足项目需求，保障措施基本合理得3.1-5分；配有设施设备，但保障措施简单、不利于项目实施得0.1-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团队人员配置（1）</w:t>
            </w:r>
          </w:p>
        </w:tc>
        <w:tc>
          <w:tcPr>
            <w:tcW w:type="dxa" w:w="2492"/>
          </w:tcPr>
          <w:p>
            <w:pPr>
              <w:pStyle w:val="null3"/>
            </w:pPr>
            <w:r>
              <w:rPr>
                <w:rFonts w:ascii="仿宋_GB2312" w:hAnsi="仿宋_GB2312" w:cs="仿宋_GB2312" w:eastAsia="仿宋_GB2312"/>
              </w:rPr>
              <w:t>团队人员配置（项目负责人除外）：人员配备齐全、结构合理、职责清晰，完全满足得[2.1-3]分；基本满足得[1.1-2]分；不满足不得分。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团队人员配置（2）</w:t>
            </w:r>
          </w:p>
        </w:tc>
        <w:tc>
          <w:tcPr>
            <w:tcW w:type="dxa" w:w="2492"/>
          </w:tcPr>
          <w:p>
            <w:pPr>
              <w:pStyle w:val="null3"/>
            </w:pPr>
            <w:r>
              <w:rPr>
                <w:rFonts w:ascii="仿宋_GB2312" w:hAnsi="仿宋_GB2312" w:cs="仿宋_GB2312" w:eastAsia="仿宋_GB2312"/>
              </w:rPr>
              <w:t>团队人员配置（项目负责人除外）：.团队其他人员每具有一名中级职称的得 0.5 分，高级及以上职称得 1 分,本项最多得5分。（团队人员须提供职称证书复印件并加盖公章）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 xml:space="preserve"> 1.项目负责人从业经验年限达15年以上，计3分，从业经验年限达10年，计2分，以下不计分（需提供相关证明材料）。 2.项目负责人业绩：担任项目负责人每提供一项业绩计2分，参与类似项目每提供一项计1分，此项满分为4分。（业绩证明材料业绩需提供体现负责人姓名的合同或签署成果文件）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供应商提供近3年完成的业绩，每提供一项类似业绩计2分，最高计8分。（以合同签订日期为准，供应商须提供合同或中标（成交）通知书复印件加盖公章。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 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