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版本号：ZCSP-渭南市-2025-00591、XHLJZC-WN2025-08120250716001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数据质量管理平台建设项目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ZCSP-渭南市-2025-00591、XHLJZC-WN2025-081</w:t>
      </w:r>
      <w:r>
        <w:br/>
      </w:r>
      <w:r>
        <w:br/>
      </w:r>
      <w:r>
        <w:br/>
      </w:r>
    </w:p>
    <w:p>
      <w:pPr>
        <w:pStyle w:val="null3"/>
        <w:jc w:val="center"/>
        <w:outlineLvl w:val="2"/>
      </w:pPr>
      <w:r>
        <w:rPr>
          <w:rFonts w:ascii="仿宋_GB2312" w:hAnsi="仿宋_GB2312" w:cs="仿宋_GB2312" w:eastAsia="仿宋_GB2312"/>
          <w:sz w:val="28"/>
          <w:b/>
        </w:rPr>
        <w:t>渭南市住房公积金管理中心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渭南市住房公积金管理中心</w:t>
      </w:r>
      <w:r>
        <w:rPr>
          <w:rFonts w:ascii="仿宋_GB2312" w:hAnsi="仿宋_GB2312" w:cs="仿宋_GB2312" w:eastAsia="仿宋_GB2312"/>
        </w:rPr>
        <w:t>委托，拟对</w:t>
      </w:r>
      <w:r>
        <w:rPr>
          <w:rFonts w:ascii="仿宋_GB2312" w:hAnsi="仿宋_GB2312" w:cs="仿宋_GB2312" w:eastAsia="仿宋_GB2312"/>
        </w:rPr>
        <w:t>数据质量管理平台建设项目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ZCSP-渭南市-2025-00591、XHLJZC-WN2025-081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数据质量管理平台建设项目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数据质量管理平台建设，详见磋商文件。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陕西省西安市雁塔区西部电子社区A座C区181号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0913-2933199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渭南市住房公积金管理中心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渭南市住房公积金管理中心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数据质量管理平台建设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数据质量管理平台建设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标的名称：数据质量管理平台建设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1"/>
                <w:b/>
              </w:rPr>
              <w:t>一、项目建设依据</w:t>
            </w:r>
          </w:p>
          <w:p>
            <w:pPr>
              <w:pStyle w:val="null3"/>
              <w:ind w:firstLine="560"/>
              <w:jc w:val="both"/>
            </w:pPr>
            <w:r>
              <w:rPr>
                <w:rFonts w:ascii="仿宋_GB2312" w:hAnsi="仿宋_GB2312" w:cs="仿宋_GB2312" w:eastAsia="仿宋_GB2312"/>
                <w:sz w:val="21"/>
              </w:rPr>
              <w:t>《中共中央国务院关于构建数据基础制度更好发挥数据要素作用的意见》（2022年12月2日）；</w:t>
            </w:r>
          </w:p>
          <w:p>
            <w:pPr>
              <w:pStyle w:val="null3"/>
              <w:ind w:firstLine="560"/>
              <w:jc w:val="both"/>
            </w:pPr>
            <w:r>
              <w:rPr>
                <w:rFonts w:ascii="仿宋_GB2312" w:hAnsi="仿宋_GB2312" w:cs="仿宋_GB2312" w:eastAsia="仿宋_GB2312"/>
                <w:sz w:val="21"/>
              </w:rPr>
              <w:t>国家数据局等部门关于印发《“数据要素×”三年行动计划（2024—2026年）》的通知（国数政策〔2023〕11号）；</w:t>
            </w:r>
          </w:p>
          <w:p>
            <w:pPr>
              <w:pStyle w:val="null3"/>
              <w:ind w:firstLine="560"/>
              <w:jc w:val="both"/>
            </w:pPr>
            <w:r>
              <w:rPr>
                <w:rFonts w:ascii="仿宋_GB2312" w:hAnsi="仿宋_GB2312" w:cs="仿宋_GB2312" w:eastAsia="仿宋_GB2312"/>
                <w:sz w:val="21"/>
              </w:rPr>
              <w:t>《国务院关于加强数字政府建设的指导意见》（国发〔2022〕14号）；</w:t>
            </w:r>
          </w:p>
          <w:p>
            <w:pPr>
              <w:pStyle w:val="null3"/>
              <w:ind w:firstLine="560"/>
              <w:jc w:val="both"/>
            </w:pPr>
            <w:r>
              <w:rPr>
                <w:rFonts w:ascii="仿宋_GB2312" w:hAnsi="仿宋_GB2312" w:cs="仿宋_GB2312" w:eastAsia="仿宋_GB2312"/>
                <w:sz w:val="21"/>
              </w:rPr>
              <w:t>《住房城乡建设部办公厅关于做好住房公积金数据质量提升工作的通知》（建办金函〔2023〕67号）；</w:t>
            </w:r>
          </w:p>
          <w:p>
            <w:pPr>
              <w:pStyle w:val="null3"/>
              <w:ind w:firstLine="560"/>
              <w:jc w:val="both"/>
            </w:pPr>
            <w:r>
              <w:rPr>
                <w:rFonts w:ascii="仿宋_GB2312" w:hAnsi="仿宋_GB2312" w:cs="仿宋_GB2312" w:eastAsia="仿宋_GB2312"/>
                <w:sz w:val="21"/>
              </w:rPr>
              <w:t>《住房和城乡建设部关于加快住房公积金数字化发展的指导意见》（建金〔2022〕82号）。</w:t>
            </w:r>
          </w:p>
          <w:p>
            <w:pPr>
              <w:pStyle w:val="null3"/>
              <w:jc w:val="both"/>
              <w:outlineLvl w:val="0"/>
            </w:pPr>
            <w:r>
              <w:rPr>
                <w:rFonts w:ascii="仿宋_GB2312" w:hAnsi="仿宋_GB2312" w:cs="仿宋_GB2312" w:eastAsia="仿宋_GB2312"/>
                <w:sz w:val="21"/>
                <w:b/>
              </w:rPr>
              <w:t>二、建设目标</w:t>
            </w:r>
          </w:p>
          <w:p>
            <w:pPr>
              <w:pStyle w:val="null3"/>
              <w:ind w:firstLine="560"/>
              <w:jc w:val="both"/>
            </w:pPr>
            <w:r>
              <w:rPr>
                <w:rFonts w:ascii="仿宋_GB2312" w:hAnsi="仿宋_GB2312" w:cs="仿宋_GB2312" w:eastAsia="仿宋_GB2312"/>
                <w:sz w:val="21"/>
              </w:rPr>
              <w:t>围绕“制度流程+平台应用”的模式，实现双轮驱动，以完善数据资源体系建设为基础，打造数字应用平台为支撑，开展住房公积金数据质量提升工作，加强和规范住房公积金数据“采集、存储、维护、共享、应用”全生命周期管理，摸清数据资源底数，并完成历史存量数据的治理工作，“遏制存量、严控增量”，夯实数字化发展基础，构建“业务产生数据，数据赋能公积金管理服务”良性循环的新发展格局，加快推动住房公积金事业持续高质量发展，实现“健全共享利用的数据资源体系”目标。</w:t>
            </w:r>
          </w:p>
          <w:p>
            <w:pPr>
              <w:pStyle w:val="null3"/>
              <w:jc w:val="both"/>
              <w:outlineLvl w:val="0"/>
            </w:pPr>
            <w:r>
              <w:rPr>
                <w:rFonts w:ascii="仿宋_GB2312" w:hAnsi="仿宋_GB2312" w:cs="仿宋_GB2312" w:eastAsia="仿宋_GB2312"/>
                <w:sz w:val="21"/>
                <w:b/>
              </w:rPr>
              <w:t>三、采购内容</w:t>
            </w:r>
          </w:p>
          <w:p>
            <w:pPr>
              <w:pStyle w:val="null3"/>
              <w:ind w:firstLine="560"/>
              <w:jc w:val="both"/>
            </w:pPr>
            <w:r>
              <w:rPr>
                <w:rFonts w:ascii="仿宋_GB2312" w:hAnsi="仿宋_GB2312" w:cs="仿宋_GB2312" w:eastAsia="仿宋_GB2312"/>
                <w:sz w:val="21"/>
              </w:rPr>
              <w:t>围绕加强住房公积金数据全生命周期管理，摸清数据资源底数，规范历史存量数据治理工作，提高住房公积金管理机构数字化管理水平，并最终通过深度挖掘数据要素价值，达成赋能公积金管理服务场景应用的目标，搭建住房公积金数据资产管理平台，开展历史存量数据治理工作。</w:t>
            </w:r>
          </w:p>
          <w:p>
            <w:pPr>
              <w:pStyle w:val="null3"/>
              <w:ind w:firstLine="560"/>
              <w:jc w:val="both"/>
            </w:pPr>
            <w:r>
              <w:rPr>
                <w:rFonts w:ascii="仿宋_GB2312" w:hAnsi="仿宋_GB2312" w:cs="仿宋_GB2312" w:eastAsia="仿宋_GB2312"/>
                <w:sz w:val="21"/>
              </w:rPr>
              <w:t>1、住房公积金数据资产管理平台</w:t>
            </w:r>
          </w:p>
          <w:p>
            <w:pPr>
              <w:pStyle w:val="null3"/>
              <w:ind w:firstLine="560"/>
              <w:jc w:val="both"/>
            </w:pPr>
            <w:r>
              <w:rPr>
                <w:rFonts w:ascii="仿宋_GB2312" w:hAnsi="仿宋_GB2312" w:cs="仿宋_GB2312" w:eastAsia="仿宋_GB2312"/>
                <w:sz w:val="21"/>
              </w:rPr>
              <w:t>（1）数据资源目录编制</w:t>
            </w:r>
          </w:p>
          <w:p>
            <w:pPr>
              <w:pStyle w:val="null3"/>
              <w:ind w:firstLine="560"/>
              <w:jc w:val="both"/>
            </w:pPr>
            <w:r>
              <w:rPr>
                <w:rFonts w:ascii="仿宋_GB2312" w:hAnsi="仿宋_GB2312" w:cs="仿宋_GB2312" w:eastAsia="仿宋_GB2312"/>
                <w:sz w:val="21"/>
              </w:rPr>
              <w:t>基于《全国一体化政务大数据体系政务数据目录编制和治理规范》《政务服务数据资源目录编制规范》等标准要求，形成《住房公积金数据资源目录》清单，摸清数据资源家底、提升数据质量的基础性工作，通过编制数据资源目录，实现对数据的检索、定位与获取，为住房公积金管理机构后续数据分类分级管理、数据共享应用、挖掘数据价值提供基础支撑。</w:t>
            </w:r>
          </w:p>
          <w:p>
            <w:pPr>
              <w:pStyle w:val="null3"/>
              <w:ind w:firstLine="560"/>
              <w:jc w:val="both"/>
            </w:pPr>
            <w:r>
              <w:rPr>
                <w:rFonts w:ascii="仿宋_GB2312" w:hAnsi="仿宋_GB2312" w:cs="仿宋_GB2312" w:eastAsia="仿宋_GB2312"/>
                <w:sz w:val="21"/>
              </w:rPr>
              <w:t>（2）数据采集</w:t>
            </w:r>
          </w:p>
          <w:p>
            <w:pPr>
              <w:pStyle w:val="null3"/>
              <w:ind w:firstLine="560"/>
              <w:jc w:val="both"/>
            </w:pPr>
            <w:r>
              <w:rPr>
                <w:rFonts w:ascii="仿宋_GB2312" w:hAnsi="仿宋_GB2312" w:cs="仿宋_GB2312" w:eastAsia="仿宋_GB2312"/>
                <w:sz w:val="21"/>
              </w:rPr>
              <w:t>鉴于住房公积金数据来源包括公积金系统产生、外部系统共享、历史纸质数据、线上服务渠道采集等多种渠道，通过系统配置数据溯源机制，准确识别数据来源，完成来源数据可用性评估，保障数据按标准要求进行采集。</w:t>
            </w:r>
          </w:p>
          <w:p>
            <w:pPr>
              <w:pStyle w:val="null3"/>
              <w:ind w:firstLine="560"/>
              <w:jc w:val="both"/>
            </w:pPr>
            <w:r>
              <w:rPr>
                <w:rFonts w:ascii="仿宋_GB2312" w:hAnsi="仿宋_GB2312" w:cs="仿宋_GB2312" w:eastAsia="仿宋_GB2312"/>
                <w:sz w:val="21"/>
              </w:rPr>
              <w:t>（3）数据维护</w:t>
            </w:r>
          </w:p>
          <w:p>
            <w:pPr>
              <w:pStyle w:val="null3"/>
              <w:ind w:firstLine="560"/>
              <w:jc w:val="both"/>
            </w:pPr>
            <w:r>
              <w:rPr>
                <w:rFonts w:ascii="仿宋_GB2312" w:hAnsi="仿宋_GB2312" w:cs="仿宋_GB2312" w:eastAsia="仿宋_GB2312"/>
                <w:sz w:val="21"/>
              </w:rPr>
              <w:t>通过数据监控与维护系统建设，对全量数据进行常态化监控，对数据维护情况、数据治理情况进行实施监测和管理，明确数据维护流程，实现数据维护全过程留痕，确保数据的质量、准确性。并通过不同维度的评价指标配置，对数据质量和数据维护工作情况进行评价。系统主要包括数据质量监控、评价指标管理、数据概况分析、数据维护（问题数据发现、问题数据分类、问题数据分发、问题数据台账、问题数据分析、数据处理申请、审批、问题数据整改、整改结果验证）等功能。</w:t>
            </w:r>
          </w:p>
          <w:p>
            <w:pPr>
              <w:pStyle w:val="null3"/>
              <w:ind w:firstLine="560"/>
              <w:jc w:val="both"/>
            </w:pPr>
            <w:r>
              <w:rPr>
                <w:rFonts w:ascii="仿宋_GB2312" w:hAnsi="仿宋_GB2312" w:cs="仿宋_GB2312" w:eastAsia="仿宋_GB2312"/>
                <w:sz w:val="21"/>
              </w:rPr>
              <w:t>（4）数据共享</w:t>
            </w:r>
          </w:p>
          <w:p>
            <w:pPr>
              <w:pStyle w:val="null3"/>
              <w:ind w:firstLine="560"/>
              <w:jc w:val="both"/>
            </w:pPr>
            <w:r>
              <w:rPr>
                <w:rFonts w:ascii="仿宋_GB2312" w:hAnsi="仿宋_GB2312" w:cs="仿宋_GB2312" w:eastAsia="仿宋_GB2312"/>
                <w:sz w:val="21"/>
              </w:rPr>
              <w:t>根据《住房公积金数据资源目录》，开展数据共享服务，落实共享管理，明确数据共享边界。系统主要包括共享规则配置、授权管理、共享接入数据管理、共享输出数据管理、数据共享安全管理等功能。</w:t>
            </w:r>
          </w:p>
          <w:p>
            <w:pPr>
              <w:pStyle w:val="null3"/>
              <w:ind w:firstLine="560"/>
              <w:jc w:val="both"/>
            </w:pPr>
            <w:r>
              <w:rPr>
                <w:rFonts w:ascii="仿宋_GB2312" w:hAnsi="仿宋_GB2312" w:cs="仿宋_GB2312" w:eastAsia="仿宋_GB2312"/>
                <w:sz w:val="21"/>
              </w:rPr>
              <w:t>（5）数据应用</w:t>
            </w:r>
          </w:p>
          <w:p>
            <w:pPr>
              <w:pStyle w:val="null3"/>
              <w:ind w:firstLine="560"/>
              <w:jc w:val="both"/>
            </w:pPr>
            <w:r>
              <w:rPr>
                <w:rFonts w:ascii="仿宋_GB2312" w:hAnsi="仿宋_GB2312" w:cs="仿宋_GB2312" w:eastAsia="仿宋_GB2312"/>
                <w:sz w:val="21"/>
              </w:rPr>
              <w:t>丰富数据应用场景，在数据应用环节中进一步发现数据质量问题，促进数据质量提升工作良性循环开展。系统主要包括管理模型、服务模型、监督模型及决策模型。</w:t>
            </w:r>
          </w:p>
          <w:p>
            <w:pPr>
              <w:pStyle w:val="null3"/>
              <w:ind w:firstLine="560"/>
              <w:jc w:val="both"/>
            </w:pPr>
            <w:r>
              <w:rPr>
                <w:rFonts w:ascii="仿宋_GB2312" w:hAnsi="仿宋_GB2312" w:cs="仿宋_GB2312" w:eastAsia="仿宋_GB2312"/>
                <w:sz w:val="21"/>
              </w:rPr>
              <w:t>2、历史存储数据治理</w:t>
            </w:r>
          </w:p>
          <w:p>
            <w:pPr>
              <w:pStyle w:val="null3"/>
              <w:ind w:firstLine="560"/>
              <w:jc w:val="both"/>
            </w:pPr>
            <w:r>
              <w:rPr>
                <w:rFonts w:ascii="仿宋_GB2312" w:hAnsi="仿宋_GB2312" w:cs="仿宋_GB2312" w:eastAsia="仿宋_GB2312"/>
                <w:sz w:val="21"/>
              </w:rPr>
              <w:t>围绕征信数据上报、住建部电子稽查、住建部数字化小组检查、本地部署的电子稽查等定义的数据标准、编写检查指标从不同角度、不同维度，对公积金中心数据进行全面的体检。对历史存储数据进行数据体检、数据分析、设置数据检查指标、开展数据治理工作，运用数据治理工具为公积金中心提供全面的数据检查、问题整改和风险防范。</w:t>
            </w:r>
          </w:p>
          <w:p>
            <w:pPr>
              <w:pStyle w:val="null3"/>
              <w:numPr>
                <w:ilvl w:val="0"/>
                <w:numId w:val="1"/>
              </w:numPr>
              <w:jc w:val="both"/>
            </w:pPr>
            <w:r>
              <w:rPr>
                <w:rFonts w:ascii="仿宋_GB2312" w:hAnsi="仿宋_GB2312" w:cs="仿宋_GB2312" w:eastAsia="仿宋_GB2312"/>
                <w:sz w:val="21"/>
                <w:b/>
              </w:rPr>
              <w:t>实施要求</w:t>
            </w:r>
          </w:p>
          <w:p>
            <w:pPr>
              <w:pStyle w:val="null3"/>
              <w:jc w:val="both"/>
              <w:outlineLvl w:val="0"/>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人员要求</w:t>
            </w:r>
          </w:p>
          <w:p>
            <w:pPr>
              <w:pStyle w:val="null3"/>
              <w:ind w:firstLine="560"/>
              <w:jc w:val="both"/>
            </w:pPr>
            <w:r>
              <w:rPr>
                <w:rFonts w:ascii="仿宋_GB2312" w:hAnsi="仿宋_GB2312" w:cs="仿宋_GB2312" w:eastAsia="仿宋_GB2312"/>
                <w:sz w:val="21"/>
              </w:rPr>
              <w:t>供应商应根据本项目项目特点、建设内容、实施进度等，配备经验丰富的人员承担本项目工作，制定科学合理的项目组织架构和人员配置方案，建立完善的组织保障措施及管理制度，确保工程顺利实施。</w:t>
            </w:r>
          </w:p>
          <w:p>
            <w:pPr>
              <w:pStyle w:val="null3"/>
              <w:ind w:firstLine="560"/>
              <w:jc w:val="both"/>
            </w:pPr>
            <w:r>
              <w:rPr>
                <w:rFonts w:ascii="仿宋_GB2312" w:hAnsi="仿宋_GB2312" w:cs="仿宋_GB2312" w:eastAsia="仿宋_GB2312"/>
                <w:sz w:val="21"/>
              </w:rPr>
              <w:t>项目团队需包含但不限于项目经理、技术负责人、开发工程师、数据分析师、软件评测师等。</w:t>
            </w:r>
          </w:p>
          <w:p>
            <w:pPr>
              <w:pStyle w:val="null3"/>
              <w:jc w:val="both"/>
              <w:outlineLvl w:val="0"/>
            </w:pPr>
            <w:r>
              <w:rPr>
                <w:rFonts w:ascii="仿宋_GB2312" w:hAnsi="仿宋_GB2312" w:cs="仿宋_GB2312" w:eastAsia="仿宋_GB2312"/>
                <w:sz w:val="21"/>
                <w:b/>
              </w:rPr>
              <w:t>（二</w:t>
            </w:r>
            <w:r>
              <w:rPr>
                <w:rFonts w:ascii="仿宋_GB2312" w:hAnsi="仿宋_GB2312" w:cs="仿宋_GB2312" w:eastAsia="仿宋_GB2312"/>
                <w:sz w:val="21"/>
                <w:b/>
              </w:rPr>
              <w:t>）知识产权要求</w:t>
            </w:r>
          </w:p>
          <w:p>
            <w:pPr>
              <w:pStyle w:val="null3"/>
              <w:ind w:firstLine="560"/>
              <w:jc w:val="both"/>
            </w:pPr>
            <w:r>
              <w:rPr>
                <w:rFonts w:ascii="仿宋_GB2312" w:hAnsi="仿宋_GB2312" w:cs="仿宋_GB2312" w:eastAsia="仿宋_GB2312"/>
                <w:sz w:val="21"/>
              </w:rPr>
              <w:t>成交供应商应具有规范的知识产权管理能力，建立标准的知识产权管理体系，保证本项目接口开发成果不侵犯任何第三方的知识产权，不存在任何与此相关的争议。如采购人因使用本项目开发成果引起与第三方纠纷，产生的一切法律责任与费用由成交供应商承担。</w:t>
            </w:r>
          </w:p>
          <w:p>
            <w:pPr>
              <w:pStyle w:val="null3"/>
              <w:jc w:val="both"/>
              <w:outlineLvl w:val="0"/>
            </w:pPr>
            <w:r>
              <w:rPr>
                <w:rFonts w:ascii="仿宋_GB2312" w:hAnsi="仿宋_GB2312" w:cs="仿宋_GB2312" w:eastAsia="仿宋_GB2312"/>
                <w:sz w:val="21"/>
                <w:b/>
              </w:rPr>
              <w:t>（三</w:t>
            </w:r>
            <w:r>
              <w:rPr>
                <w:rFonts w:ascii="仿宋_GB2312" w:hAnsi="仿宋_GB2312" w:cs="仿宋_GB2312" w:eastAsia="仿宋_GB2312"/>
                <w:sz w:val="21"/>
                <w:b/>
              </w:rPr>
              <w:t>）动态风险检测能力要求</w:t>
            </w:r>
          </w:p>
          <w:p>
            <w:pPr>
              <w:pStyle w:val="null3"/>
              <w:ind w:firstLine="560"/>
              <w:jc w:val="both"/>
            </w:pPr>
            <w:r>
              <w:rPr>
                <w:rFonts w:ascii="仿宋_GB2312" w:hAnsi="仿宋_GB2312" w:cs="仿宋_GB2312" w:eastAsia="仿宋_GB2312"/>
                <w:sz w:val="21"/>
              </w:rPr>
              <w:t>因本项目采购内容涉及重要业务数据，系统实施过程中均需要进行充分的风险检测，供应商应掌握动态认证的风险检测方法，主动、提前对项目风险进行防控及处理。</w:t>
            </w:r>
          </w:p>
          <w:p>
            <w:pPr>
              <w:pStyle w:val="null3"/>
              <w:jc w:val="both"/>
              <w:outlineLvl w:val="0"/>
            </w:pPr>
            <w:r>
              <w:rPr>
                <w:rFonts w:ascii="仿宋_GB2312" w:hAnsi="仿宋_GB2312" w:cs="仿宋_GB2312" w:eastAsia="仿宋_GB2312"/>
                <w:sz w:val="21"/>
                <w:b/>
              </w:rPr>
              <w:t>（四</w:t>
            </w:r>
            <w:r>
              <w:rPr>
                <w:rFonts w:ascii="仿宋_GB2312" w:hAnsi="仿宋_GB2312" w:cs="仿宋_GB2312" w:eastAsia="仿宋_GB2312"/>
                <w:sz w:val="21"/>
                <w:b/>
              </w:rPr>
              <w:t>）培训要求</w:t>
            </w:r>
          </w:p>
          <w:p>
            <w:pPr>
              <w:pStyle w:val="null3"/>
              <w:ind w:firstLine="560"/>
              <w:jc w:val="both"/>
            </w:pPr>
            <w:r>
              <w:rPr>
                <w:rFonts w:ascii="仿宋_GB2312" w:hAnsi="仿宋_GB2312" w:cs="仿宋_GB2312" w:eastAsia="仿宋_GB2312"/>
                <w:sz w:val="21"/>
              </w:rPr>
              <w:t>供应商需拟定详细的培训方案，对采购人及所有相关人员进行培训，保证所有参加培训人员及时、准确的了解系统。对各自岗位对应的功能经过培训后实现熟练操作。</w:t>
            </w:r>
          </w:p>
          <w:p>
            <w:pPr>
              <w:pStyle w:val="null3"/>
              <w:jc w:val="both"/>
              <w:outlineLvl w:val="0"/>
            </w:pPr>
            <w:r>
              <w:rPr>
                <w:rFonts w:ascii="仿宋_GB2312" w:hAnsi="仿宋_GB2312" w:cs="仿宋_GB2312" w:eastAsia="仿宋_GB2312"/>
                <w:sz w:val="21"/>
                <w:b/>
              </w:rPr>
              <w:t>（五</w:t>
            </w:r>
            <w:r>
              <w:rPr>
                <w:rFonts w:ascii="仿宋_GB2312" w:hAnsi="仿宋_GB2312" w:cs="仿宋_GB2312" w:eastAsia="仿宋_GB2312"/>
                <w:sz w:val="21"/>
                <w:b/>
              </w:rPr>
              <w:t>）售后服务要求</w:t>
            </w:r>
          </w:p>
          <w:p>
            <w:pPr>
              <w:pStyle w:val="null3"/>
              <w:jc w:val="both"/>
            </w:pPr>
            <w:r>
              <w:rPr>
                <w:rFonts w:ascii="仿宋_GB2312" w:hAnsi="仿宋_GB2312" w:cs="仿宋_GB2312" w:eastAsia="仿宋_GB2312"/>
                <w:sz w:val="21"/>
              </w:rPr>
              <w:t>成交供应商提供项目验收之日起3年的售后服务。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2025年11月30日前完成交付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渭南市住房公积金管理中心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系统上线后15个工作日内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系统上线满一年后15个工作日内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交成果资料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商务要求响应表 响应文件封面 政府采购供应商拒绝政府采购领域商业贿赂承诺书 费用组成表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（1）报价未超过本项目最高限价 （2）未出现选择性报价</w:t>
            </w:r>
          </w:p>
        </w:tc>
        <w:tc>
          <w:tcPr>
            <w:tcW w:type="dxa" w:w="1661"/>
          </w:tcPr>
          <w:p>
            <w:pPr>
              <w:pStyle w:val="null3"/>
            </w:pPr>
            <w:r>
              <w:rPr>
                <w:rFonts w:ascii="仿宋_GB2312" w:hAnsi="仿宋_GB2312" w:cs="仿宋_GB2312" w:eastAsia="仿宋_GB2312"/>
              </w:rPr>
              <w:t>响应文件封面 费用组成表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1、评审内容供应商提供针对本项目的服务方案，内容包括：①数据管理组织结构管理方案②住房公积金数据资产管理平台调查对象安排方案③历史存储数据治理组织协调措施。 2、评审标准 ①完整性：方案须全面，对评审内容中的各项要求有详细描述及说明； ②可实施性：切合本项目实际情况，实施步骤清晰、合理； ③针对性：方案能够紧扣项目实际情况，内容科学合理。 3、赋分标准 ①数据管理组织结构管理方案：每满足一项评审标准得2分，满分6分； ②住房公积金数据资产管理平台调查对象安排方案：每满足一项评审标准得1分，满分3分； ③历史存储数据治理组织协调措施：每满足一项评审标准得1分，满分3分。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1、评审内容供应商提供针对本项目的服务方案，内容包括：①项目实施计划②项目管理与协调方案。 2、评审标准 ①完整性：方案须全面，对评审内容中的各项要求有详细描述及说明； ②可实施性：切合本项目实际情况，实施步骤清晰、合理； ③针对性：方案能够紧扣项目实际情况，内容科学合理。 3、赋分标准 ①项目实施计划：每满足一项评审标准得2分，满分6分； ②项目管理与协调方案：每满足一项评审标准得2分，满分6分。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项目实施服务能力</w:t>
            </w:r>
          </w:p>
        </w:tc>
        <w:tc>
          <w:tcPr>
            <w:tcW w:type="dxa" w:w="2492"/>
          </w:tcPr>
          <w:p>
            <w:pPr>
              <w:pStyle w:val="null3"/>
            </w:pPr>
            <w:r>
              <w:rPr>
                <w:rFonts w:ascii="仿宋_GB2312" w:hAnsi="仿宋_GB2312" w:cs="仿宋_GB2312" w:eastAsia="仿宋_GB2312"/>
              </w:rPr>
              <w:t>本项目提供的系统功能扩展能够进行定制化开发，供应商应具有以下服务能力： 1.数字住房公积金管理系统开发服务能力； 2.公积金系统综合开发平台开发服务能力； 3.公积金对公众服务能力； 4.公积金运维监控平台服务能力； 5.公积金远程视频协助服务能力。 注：根据供应商提供软件功能能够进行自主定制化开发的第三方佐证材料，如自有的相关软件著作权登记证书，每提供一项软件著作权登记证书得1分，满分5分。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1、评审内容：供应商提供拟派本项目工作人员组成情况（有具体成员名单，包括姓名、工作经验、工作职责、联系方式、专业证书、社保缴纳证明材料等） 2、评审标准 ①完整性：组织机构的运行配备完善、各岗位人员分工明确合理。 ②针对性：人员数量充足，人员资格/年龄等符合采购需求； ③专业性：建设团队人员应具有系统集成项目管理工程师、信息安全工程师、数据库系统工程师、信创集成项目管理师、网络工程师、信息安全保障人员等证书，人员相关岗位经验丰富，切合本项目实际情况。 3、赋分标准每完全满足一项评审标准并提供证明材料得2分，满分6分。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具有系统架构设计师、信息系统项目管理师、系统规划与管理师、系统分析师证书，提供一项得1分，未提供不得分。 注：提供证书复印件和在本公司任职的外部证明材料（如加盖政府有关部门印章的打印日期在本项目投标截止日之前六个月以内，任意月份的社保缴纳证明材料或《社会保险参保人员证明》）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企业证书</w:t>
            </w:r>
          </w:p>
        </w:tc>
        <w:tc>
          <w:tcPr>
            <w:tcW w:type="dxa" w:w="2492"/>
          </w:tcPr>
          <w:p>
            <w:pPr>
              <w:pStyle w:val="null3"/>
            </w:pPr>
            <w:r>
              <w:rPr>
                <w:rFonts w:ascii="仿宋_GB2312" w:hAnsi="仿宋_GB2312" w:cs="仿宋_GB2312" w:eastAsia="仿宋_GB2312"/>
              </w:rPr>
              <w:t>1.具有有效期内的知识产权管理体系认证证书（认证范围包括住房、信息化等相关认证范围）； 2.具有有效期内的ISO22301业务连续性管理体系认证证书； 3.具有有效期内的ISO29151通用个人信息保护管理体系认证证书； 4.具有有效期内的数据治理管理体系认证ISO38505。 5.具有有效期内的CCRC信息安全服务资质认证一级证书（信息系统安全集成、信息系统安全运维、软件安全开发）。 注：需提供证书扫描件，提供在全国认证认可信息公共服务平台上证书的查询结果截图，框选认证范围为证明材料。 每提供一项证书得1分，未提供不得分。 注：提供证书复印件。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1、评审内容供应商根据本项目的内容及要求编制管理制度方案，内容包括：①安全保密制度；②保密流程及规范。 2、评审标准①完整性：内容须全面，对评审内容中的各项要求有详细描述及说明；②可实施性：切合本项目实际情况，实施步骤清晰、合理；③针对性：内容能够紧扣项目实际情况，内容科学合理。 3、赋分标准 ①安全保密制度：每满足一项评审标准得1分，满分3分； ②保密流程及规范：每满足一项评审标准得1分，满分3分。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1、评审内容：供应商提供针对本项目的工作进度安排，方案内容括：①工作进度安排方案②工作进度保障措施。 2、评审标准①完整性：必须全面，对评审内容中的各项要求有详细描述；②可实施性：切合本项目实际情况，提出步骤清晰、合理的内容；③针对性：能紧扣项目实际情况，内容科学合理。 3、赋分标准①工作进度安排方案：每完全满足一个评审标准得1分，满分3分；②工作进度保障措施：每完全满足一个评审标准得1分，满分3分。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动态认证的风险检测方案和证明材料</w:t>
            </w:r>
          </w:p>
        </w:tc>
        <w:tc>
          <w:tcPr>
            <w:tcW w:type="dxa" w:w="2492"/>
          </w:tcPr>
          <w:p>
            <w:pPr>
              <w:pStyle w:val="null3"/>
            </w:pPr>
            <w:r>
              <w:rPr>
                <w:rFonts w:ascii="仿宋_GB2312" w:hAnsi="仿宋_GB2312" w:cs="仿宋_GB2312" w:eastAsia="仿宋_GB2312"/>
              </w:rPr>
              <w:t>评审内容：为保障系统的安全，本项目要求供应商充分掌握动态认证的风险检测方法，提供动态认证的风险检测方案和证明材料，主动、提前对项目风险进行防控及处理。 1.提供动态认证的风险检测方案，方案应包括但不限于：动态风险检测目标和动态风险检测过程。 方案能完全响应采购需求且科学合理的，得2分，每出现一处表述不合理或有缺陷的减0.5分，未提供方案的不得分。 2.提供证明材料且内容合理，能够证明其动态风险检测能力的得2分，未提供不得分。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1、评审内容供应商根据本项目涉及系统操作的实际需求提供培训方案，内容包括：①培训计划；②培训方式及内容。 2、评审标准①完整性：方案须全面，对评审内容中的各项要求有详细描述及说明；②可实施性：切合本项目实际情况，步骤清晰、合理，操作性强；③针对性：方案能够紧扣项目实际情况，内容科学合理。 3、赋分标准①培训计划：每满足一项评审标准得1分，满分3分；②培训方式及内容：每满足一项评审标准得1分，满分3分。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1、评审内容供应商提供针对本项目提供具体的服务承诺，内容包括：①服务质量承诺；②服务体系及响应时间。 2、评审标准①完整性：承诺须全面，对评审内容中的各项要求有详细描述及说明；②可实施性：切合本项目实际情况，步骤清晰、合理，操作性强；③针对性：承诺能够紧扣项目实际情况，内容科学合理。 3、赋分标准①服务质量承诺：每满足一项评审标准得1分，满分3分；②服务体系及响应时间：每满足一项评审标准得1分，满分3分。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提供2022年1月1日以来供应商同类项目的业绩合同（以合同签订日期为准），附业绩合同复印件加盖公章，每份2分，满分6分；未提供不计分。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