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3D7B0">
      <w:pPr>
        <w:pStyle w:val="5"/>
        <w:rPr>
          <w:rFonts w:hint="eastAsia" w:ascii="宋体" w:hAnsi="宋体" w:cs="宋体"/>
        </w:rPr>
      </w:pPr>
      <w:r>
        <w:rPr>
          <w:rFonts w:hint="eastAsia" w:ascii="仿宋_GB2312" w:hAnsi="仿宋_GB2312" w:eastAsia="仿宋_GB2312" w:cs="仿宋_GB2312"/>
          <w:lang w:val="en-US" w:eastAsia="zh-CN"/>
        </w:rPr>
        <w:t xml:space="preserve"> </w:t>
      </w:r>
      <w:r>
        <w:rPr>
          <w:rFonts w:hint="eastAsia" w:ascii="宋体" w:hAnsi="宋体" w:cs="宋体"/>
        </w:rPr>
        <w:t>合同主要条款</w:t>
      </w:r>
    </w:p>
    <w:p w14:paraId="1C186725">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3D689131">
      <w:pPr>
        <w:rPr>
          <w:rFonts w:hint="eastAsia" w:ascii="宋体" w:hAnsi="宋体" w:cs="宋体"/>
          <w:spacing w:val="12"/>
        </w:rPr>
      </w:pPr>
    </w:p>
    <w:p w14:paraId="48186497">
      <w:pPr>
        <w:rPr>
          <w:rFonts w:hint="eastAsia" w:ascii="宋体" w:hAnsi="宋体" w:cs="宋体"/>
          <w:spacing w:val="12"/>
          <w:sz w:val="44"/>
          <w:szCs w:val="44"/>
        </w:rPr>
      </w:pPr>
    </w:p>
    <w:p w14:paraId="55FEC53D">
      <w:pPr>
        <w:pStyle w:val="4"/>
        <w:rPr>
          <w:rFonts w:hint="eastAsia" w:ascii="宋体" w:hAnsi="宋体" w:cs="宋体"/>
          <w:b/>
          <w:bCs/>
          <w:color w:val="auto"/>
          <w:spacing w:val="12"/>
          <w:sz w:val="32"/>
          <w:szCs w:val="32"/>
        </w:rPr>
      </w:pPr>
    </w:p>
    <w:p w14:paraId="02820FDE">
      <w:pPr>
        <w:pStyle w:val="3"/>
        <w:ind w:left="0" w:leftChars="0" w:firstLine="0" w:firstLineChars="0"/>
        <w:jc w:val="center"/>
        <w:rPr>
          <w:rFonts w:hint="eastAsia" w:ascii="宋体" w:hAnsi="宋体" w:cs="宋体"/>
          <w:b/>
          <w:bCs/>
          <w:spacing w:val="12"/>
          <w:sz w:val="32"/>
          <w:szCs w:val="32"/>
        </w:rPr>
      </w:pPr>
      <w:r>
        <w:rPr>
          <w:rFonts w:hint="eastAsia" w:ascii="宋体" w:hAnsi="宋体" w:cs="宋体"/>
          <w:b/>
          <w:bCs/>
          <w:spacing w:val="12"/>
          <w:sz w:val="32"/>
          <w:szCs w:val="32"/>
        </w:rPr>
        <w:t>2025年度渭南市镇（办）环境空气自动监测站运维服务项目</w:t>
      </w:r>
    </w:p>
    <w:p w14:paraId="7DED83DD">
      <w:pPr>
        <w:pStyle w:val="3"/>
        <w:ind w:left="0" w:leftChars="0" w:firstLine="0" w:firstLineChars="0"/>
        <w:jc w:val="center"/>
        <w:rPr>
          <w:rFonts w:hint="eastAsia" w:ascii="宋体" w:hAnsi="宋体" w:eastAsia="宋体" w:cs="宋体"/>
          <w:b/>
          <w:bCs/>
          <w:spacing w:val="12"/>
          <w:sz w:val="40"/>
          <w:szCs w:val="40"/>
        </w:rPr>
      </w:pPr>
      <w:r>
        <w:rPr>
          <w:rFonts w:hint="eastAsia" w:ascii="宋体" w:hAnsi="宋体" w:eastAsia="宋体" w:cs="宋体"/>
          <w:b/>
          <w:bCs/>
          <w:spacing w:val="12"/>
          <w:sz w:val="40"/>
          <w:szCs w:val="40"/>
        </w:rPr>
        <w:t>（一标段：运维服务）</w:t>
      </w:r>
    </w:p>
    <w:p w14:paraId="77C7F25D">
      <w:pPr>
        <w:pStyle w:val="3"/>
        <w:rPr>
          <w:rFonts w:hint="eastAsia" w:ascii="宋体" w:hAnsi="宋体" w:cs="宋体"/>
          <w:spacing w:val="12"/>
          <w:sz w:val="44"/>
          <w:szCs w:val="44"/>
        </w:rPr>
      </w:pPr>
    </w:p>
    <w:p w14:paraId="4E692AAA">
      <w:pPr>
        <w:rPr>
          <w:rFonts w:hint="eastAsia"/>
        </w:rPr>
      </w:pPr>
    </w:p>
    <w:p w14:paraId="2313348E">
      <w:pPr>
        <w:jc w:val="center"/>
        <w:rPr>
          <w:rFonts w:hint="eastAsia" w:ascii="宋体" w:hAnsi="宋体" w:cs="宋体"/>
          <w:b/>
          <w:bCs/>
          <w:spacing w:val="12"/>
          <w:sz w:val="56"/>
          <w:szCs w:val="56"/>
        </w:rPr>
      </w:pPr>
      <w:r>
        <w:rPr>
          <w:rFonts w:hint="eastAsia" w:ascii="宋体" w:hAnsi="宋体" w:cs="宋体"/>
          <w:b/>
          <w:bCs/>
          <w:spacing w:val="12"/>
          <w:sz w:val="56"/>
          <w:szCs w:val="56"/>
        </w:rPr>
        <w:t>政府采购合同书</w:t>
      </w:r>
    </w:p>
    <w:p w14:paraId="771EDFC9">
      <w:pPr>
        <w:rPr>
          <w:rFonts w:hint="eastAsia" w:ascii="宋体" w:hAnsi="宋体" w:cs="宋体"/>
          <w:spacing w:val="12"/>
          <w:sz w:val="44"/>
          <w:szCs w:val="44"/>
        </w:rPr>
      </w:pPr>
      <w:r>
        <w:rPr>
          <w:rFonts w:hint="eastAsia" w:ascii="宋体" w:hAnsi="宋体" w:cs="宋体"/>
          <w:spacing w:val="12"/>
          <w:sz w:val="32"/>
          <w:szCs w:val="32"/>
        </w:rPr>
        <w:t xml:space="preserve">                   </w:t>
      </w:r>
    </w:p>
    <w:p w14:paraId="55A75941">
      <w:pPr>
        <w:rPr>
          <w:rFonts w:hint="eastAsia" w:ascii="宋体" w:hAnsi="宋体" w:cs="宋体"/>
          <w:spacing w:val="12"/>
          <w:sz w:val="32"/>
          <w:szCs w:val="32"/>
          <w:u w:val="single"/>
        </w:rPr>
      </w:pPr>
    </w:p>
    <w:p w14:paraId="6BAA4436">
      <w:pPr>
        <w:rPr>
          <w:rFonts w:hint="eastAsia" w:ascii="宋体" w:hAnsi="宋体" w:cs="宋体"/>
          <w:spacing w:val="12"/>
          <w:sz w:val="32"/>
          <w:szCs w:val="32"/>
          <w:u w:val="single"/>
        </w:rPr>
      </w:pPr>
    </w:p>
    <w:p w14:paraId="6B5AD22C">
      <w:pPr>
        <w:rPr>
          <w:rFonts w:hint="eastAsia" w:ascii="宋体" w:hAnsi="宋体" w:cs="宋体"/>
          <w:spacing w:val="12"/>
          <w:sz w:val="32"/>
          <w:szCs w:val="32"/>
          <w:u w:val="single"/>
        </w:rPr>
      </w:pPr>
    </w:p>
    <w:p w14:paraId="06CBD7EE">
      <w:pPr>
        <w:rPr>
          <w:rFonts w:hint="eastAsia" w:ascii="宋体" w:hAnsi="宋体" w:cs="宋体"/>
        </w:rPr>
      </w:pPr>
    </w:p>
    <w:p w14:paraId="7D0FAAA7">
      <w:pPr>
        <w:rPr>
          <w:rFonts w:hint="eastAsia" w:ascii="宋体" w:hAnsi="宋体" w:cs="宋体"/>
          <w:spacing w:val="12"/>
          <w:sz w:val="32"/>
          <w:szCs w:val="32"/>
        </w:rPr>
      </w:pPr>
    </w:p>
    <w:p w14:paraId="0A2D69C8">
      <w:pPr>
        <w:pStyle w:val="4"/>
        <w:rPr>
          <w:rFonts w:hint="eastAsia" w:ascii="宋体" w:hAnsi="宋体" w:cs="宋体"/>
          <w:spacing w:val="12"/>
          <w:sz w:val="32"/>
          <w:szCs w:val="32"/>
        </w:rPr>
      </w:pPr>
    </w:p>
    <w:p w14:paraId="5E77E5FF">
      <w:pPr>
        <w:pStyle w:val="4"/>
        <w:rPr>
          <w:rFonts w:hint="eastAsia" w:ascii="宋体" w:hAnsi="宋体" w:cs="宋体"/>
          <w:spacing w:val="12"/>
          <w:sz w:val="32"/>
          <w:szCs w:val="32"/>
        </w:rPr>
      </w:pPr>
    </w:p>
    <w:p w14:paraId="513B3553">
      <w:pPr>
        <w:pStyle w:val="3"/>
        <w:ind w:firstLine="0"/>
        <w:rPr>
          <w:rFonts w:hint="eastAsia"/>
        </w:rPr>
      </w:pPr>
    </w:p>
    <w:p w14:paraId="096CCB53">
      <w:pPr>
        <w:rPr>
          <w:rFonts w:hint="eastAsia"/>
        </w:rPr>
      </w:pPr>
    </w:p>
    <w:p w14:paraId="53DC528C">
      <w:pPr>
        <w:pStyle w:val="2"/>
        <w:rPr>
          <w:rFonts w:hint="eastAsia"/>
        </w:rPr>
      </w:pPr>
    </w:p>
    <w:p w14:paraId="3561DF77">
      <w:pPr>
        <w:ind w:firstLine="1726" w:firstLineChars="500"/>
        <w:rPr>
          <w:rFonts w:hint="eastAsia" w:ascii="宋体" w:hAnsi="宋体" w:cs="宋体"/>
          <w:b/>
          <w:bCs/>
          <w:spacing w:val="12"/>
          <w:sz w:val="32"/>
          <w:szCs w:val="32"/>
        </w:rPr>
      </w:pPr>
      <w:r>
        <w:rPr>
          <w:rFonts w:hint="eastAsia" w:ascii="宋体" w:hAnsi="宋体" w:cs="宋体"/>
          <w:b/>
          <w:bCs/>
          <w:spacing w:val="12"/>
          <w:sz w:val="32"/>
          <w:szCs w:val="32"/>
        </w:rPr>
        <w:t>采</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购</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人：渭南市环境保护监测站</w:t>
      </w:r>
    </w:p>
    <w:p w14:paraId="248543B6">
      <w:pPr>
        <w:ind w:firstLine="1726" w:firstLineChars="500"/>
        <w:rPr>
          <w:rFonts w:hint="eastAsia" w:ascii="宋体" w:hAnsi="宋体" w:cs="宋体"/>
          <w:sz w:val="22"/>
          <w:szCs w:val="22"/>
        </w:rPr>
      </w:pPr>
      <w:r>
        <w:rPr>
          <w:rFonts w:hint="eastAsia" w:ascii="宋体" w:hAnsi="宋体" w:cs="宋体"/>
          <w:b/>
          <w:bCs/>
          <w:spacing w:val="12"/>
          <w:sz w:val="32"/>
          <w:szCs w:val="32"/>
        </w:rPr>
        <w:t>中</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标</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人：</w:t>
      </w:r>
    </w:p>
    <w:p w14:paraId="28B7F2B4">
      <w:pPr>
        <w:spacing w:line="360" w:lineRule="auto"/>
        <w:rPr>
          <w:rFonts w:hint="eastAsia" w:ascii="宋体" w:hAnsi="宋体" w:cs="宋体"/>
          <w:sz w:val="22"/>
          <w:szCs w:val="22"/>
        </w:rPr>
      </w:pPr>
    </w:p>
    <w:p w14:paraId="448F8B14">
      <w:pPr>
        <w:spacing w:line="360" w:lineRule="auto"/>
        <w:rPr>
          <w:rFonts w:hint="eastAsia" w:ascii="宋体" w:hAnsi="宋体" w:cs="宋体"/>
          <w:sz w:val="22"/>
          <w:szCs w:val="22"/>
        </w:rPr>
        <w:sectPr>
          <w:pgSz w:w="11906" w:h="16838"/>
          <w:pgMar w:top="1417" w:right="1417" w:bottom="1417" w:left="1417" w:header="851" w:footer="992" w:gutter="0"/>
          <w:paperSrc/>
          <w:cols w:space="0" w:num="1"/>
          <w:rtlGutter w:val="0"/>
          <w:docGrid w:type="lines" w:linePitch="312" w:charSpace="0"/>
        </w:sectPr>
      </w:pPr>
    </w:p>
    <w:p w14:paraId="1348E76E">
      <w:pPr>
        <w:spacing w:line="360" w:lineRule="auto"/>
        <w:rPr>
          <w:rFonts w:hint="eastAsia" w:ascii="宋体" w:hAnsi="宋体" w:cs="宋体"/>
          <w:sz w:val="22"/>
          <w:szCs w:val="22"/>
        </w:rPr>
      </w:pPr>
      <w:r>
        <w:rPr>
          <w:rFonts w:hint="eastAsia" w:ascii="宋体" w:hAnsi="宋体" w:cs="宋体"/>
          <w:sz w:val="22"/>
          <w:szCs w:val="22"/>
        </w:rPr>
        <w:t xml:space="preserve">签订地点：  </w:t>
      </w:r>
    </w:p>
    <w:p w14:paraId="64F76996">
      <w:pPr>
        <w:spacing w:line="360" w:lineRule="auto"/>
        <w:rPr>
          <w:rFonts w:hint="eastAsia" w:ascii="宋体" w:hAnsi="宋体" w:cs="宋体"/>
          <w:sz w:val="22"/>
          <w:szCs w:val="22"/>
        </w:rPr>
      </w:pPr>
      <w:r>
        <w:rPr>
          <w:rFonts w:hint="eastAsia" w:ascii="宋体" w:hAnsi="宋体" w:cs="宋体"/>
          <w:sz w:val="22"/>
          <w:szCs w:val="22"/>
        </w:rPr>
        <w:t xml:space="preserve">项目编号：                                     </w:t>
      </w:r>
    </w:p>
    <w:p w14:paraId="04544BD6">
      <w:pPr>
        <w:spacing w:line="360" w:lineRule="auto"/>
        <w:rPr>
          <w:rFonts w:hint="eastAsia" w:ascii="宋体" w:hAnsi="宋体" w:cs="宋体"/>
          <w:sz w:val="22"/>
          <w:szCs w:val="22"/>
        </w:rPr>
      </w:pPr>
      <w:r>
        <w:rPr>
          <w:rFonts w:hint="eastAsia" w:ascii="宋体" w:hAnsi="宋体" w:cs="宋体"/>
          <w:sz w:val="22"/>
          <w:szCs w:val="22"/>
        </w:rPr>
        <w:t>签订时间：      年  月  日</w:t>
      </w:r>
    </w:p>
    <w:p w14:paraId="05B17F4F">
      <w:pPr>
        <w:spacing w:line="360" w:lineRule="auto"/>
        <w:rPr>
          <w:rFonts w:hint="eastAsia" w:ascii="宋体" w:hAnsi="宋体" w:cs="宋体"/>
          <w:sz w:val="22"/>
          <w:szCs w:val="22"/>
        </w:rPr>
      </w:pPr>
      <w:r>
        <w:rPr>
          <w:rFonts w:hint="eastAsia" w:ascii="宋体" w:hAnsi="宋体" w:cs="宋体"/>
          <w:sz w:val="22"/>
          <w:szCs w:val="22"/>
        </w:rPr>
        <w:t xml:space="preserve">采购人（甲方）： 渭南市环境保护监测站 </w:t>
      </w:r>
    </w:p>
    <w:p w14:paraId="33CD416B">
      <w:pPr>
        <w:spacing w:line="360" w:lineRule="auto"/>
        <w:rPr>
          <w:rFonts w:hint="eastAsia" w:ascii="宋体" w:hAnsi="宋体" w:cs="宋体"/>
          <w:sz w:val="22"/>
          <w:szCs w:val="22"/>
        </w:rPr>
      </w:pPr>
      <w:r>
        <w:rPr>
          <w:rFonts w:hint="eastAsia" w:ascii="宋体" w:hAnsi="宋体" w:cs="宋体"/>
          <w:sz w:val="22"/>
          <w:szCs w:val="22"/>
        </w:rPr>
        <w:t>中标人（乙方）：</w:t>
      </w:r>
    </w:p>
    <w:p w14:paraId="3B758C8E">
      <w:pPr>
        <w:spacing w:line="360" w:lineRule="auto"/>
        <w:ind w:firstLine="440" w:firstLineChars="200"/>
        <w:rPr>
          <w:rFonts w:hint="eastAsia" w:ascii="宋体" w:hAnsi="宋体" w:cs="宋体"/>
          <w:sz w:val="22"/>
          <w:szCs w:val="22"/>
        </w:rPr>
      </w:pPr>
    </w:p>
    <w:p w14:paraId="3CA243C3">
      <w:pPr>
        <w:spacing w:line="360" w:lineRule="auto"/>
        <w:ind w:firstLine="440" w:firstLineChars="200"/>
        <w:rPr>
          <w:rFonts w:hint="eastAsia" w:ascii="宋体" w:hAnsi="宋体" w:cs="宋体"/>
          <w:sz w:val="22"/>
          <w:szCs w:val="22"/>
        </w:rPr>
      </w:pPr>
      <w:r>
        <w:rPr>
          <w:rFonts w:hint="eastAsia" w:ascii="宋体" w:hAnsi="宋体" w:cs="宋体"/>
          <w:sz w:val="22"/>
          <w:szCs w:val="22"/>
        </w:rPr>
        <w:t>根据</w:t>
      </w:r>
      <w:r>
        <w:rPr>
          <w:rFonts w:hint="eastAsia" w:ascii="宋体" w:hAnsi="宋体" w:cs="宋体"/>
          <w:b/>
          <w:bCs/>
          <w:sz w:val="22"/>
          <w:szCs w:val="22"/>
          <w:u w:val="single"/>
        </w:rPr>
        <w:t>2025年度渭南市镇（办）环境空气自动监测站运维服务项目</w:t>
      </w:r>
      <w:r>
        <w:rPr>
          <w:rFonts w:hint="eastAsia" w:ascii="宋体" w:hAnsi="宋体" w:cs="宋体"/>
          <w:sz w:val="22"/>
          <w:szCs w:val="22"/>
        </w:rPr>
        <w:t>的采购结果，按照《中华人民共和国政府采购法》、《中华人民共和国民法典》等规定，经双方协商，本着平等互利和诚实信用的原则，一致同意签订本合同如下。</w:t>
      </w:r>
    </w:p>
    <w:p w14:paraId="6592EFB9">
      <w:pPr>
        <w:spacing w:line="360" w:lineRule="auto"/>
        <w:ind w:firstLine="442" w:firstLineChars="200"/>
        <w:rPr>
          <w:rFonts w:hint="eastAsia" w:ascii="宋体" w:hAnsi="宋体" w:cs="宋体"/>
          <w:b/>
          <w:bCs/>
          <w:sz w:val="22"/>
          <w:szCs w:val="22"/>
        </w:rPr>
      </w:pPr>
      <w:r>
        <w:rPr>
          <w:rFonts w:hint="eastAsia" w:ascii="宋体" w:hAnsi="宋体" w:cs="宋体"/>
          <w:b/>
          <w:bCs/>
          <w:sz w:val="22"/>
          <w:szCs w:val="22"/>
        </w:rPr>
        <w:t>一、合同文件</w:t>
      </w:r>
    </w:p>
    <w:p w14:paraId="5D03229B">
      <w:pPr>
        <w:spacing w:line="360" w:lineRule="auto"/>
        <w:ind w:firstLine="440" w:firstLineChars="200"/>
        <w:rPr>
          <w:rFonts w:hint="eastAsia" w:ascii="宋体" w:hAnsi="宋体" w:cs="宋体"/>
          <w:sz w:val="22"/>
          <w:szCs w:val="22"/>
        </w:rPr>
      </w:pPr>
      <w:r>
        <w:rPr>
          <w:rFonts w:hint="eastAsia" w:ascii="宋体" w:hAnsi="宋体" w:cs="宋体"/>
          <w:sz w:val="22"/>
          <w:szCs w:val="22"/>
        </w:rPr>
        <w:t>1、协议书条款；</w:t>
      </w:r>
    </w:p>
    <w:p w14:paraId="40C15C94">
      <w:pPr>
        <w:spacing w:line="360" w:lineRule="auto"/>
        <w:ind w:firstLine="440" w:firstLineChars="200"/>
        <w:rPr>
          <w:rFonts w:hint="eastAsia" w:ascii="宋体" w:hAnsi="宋体" w:cs="宋体"/>
          <w:sz w:val="22"/>
          <w:szCs w:val="22"/>
        </w:rPr>
      </w:pPr>
      <w:r>
        <w:rPr>
          <w:rFonts w:hint="eastAsia" w:ascii="宋体" w:hAnsi="宋体" w:cs="宋体"/>
          <w:sz w:val="22"/>
          <w:szCs w:val="22"/>
        </w:rPr>
        <w:t>2、招标文件；</w:t>
      </w:r>
    </w:p>
    <w:p w14:paraId="0DFE1BCC">
      <w:pPr>
        <w:spacing w:line="360" w:lineRule="auto"/>
        <w:ind w:firstLine="440" w:firstLineChars="200"/>
        <w:rPr>
          <w:rFonts w:hint="eastAsia" w:ascii="宋体" w:hAnsi="宋体" w:cs="宋体"/>
          <w:sz w:val="22"/>
          <w:szCs w:val="22"/>
        </w:rPr>
      </w:pPr>
      <w:r>
        <w:rPr>
          <w:rFonts w:hint="eastAsia" w:ascii="宋体" w:hAnsi="宋体" w:cs="宋体"/>
          <w:sz w:val="22"/>
          <w:szCs w:val="22"/>
        </w:rPr>
        <w:t>3、投标文件；</w:t>
      </w:r>
    </w:p>
    <w:p w14:paraId="20049F7E">
      <w:pPr>
        <w:spacing w:line="360" w:lineRule="auto"/>
        <w:ind w:firstLine="440" w:firstLineChars="200"/>
        <w:rPr>
          <w:rFonts w:hint="eastAsia" w:ascii="宋体" w:hAnsi="宋体" w:cs="宋体"/>
          <w:sz w:val="22"/>
          <w:szCs w:val="22"/>
        </w:rPr>
      </w:pPr>
      <w:r>
        <w:rPr>
          <w:rFonts w:hint="eastAsia" w:ascii="宋体" w:hAnsi="宋体" w:cs="宋体"/>
          <w:sz w:val="22"/>
          <w:szCs w:val="22"/>
        </w:rPr>
        <w:t>4、中标通知书；</w:t>
      </w:r>
    </w:p>
    <w:p w14:paraId="2D6DDA65">
      <w:pPr>
        <w:spacing w:line="360" w:lineRule="auto"/>
        <w:ind w:firstLine="440" w:firstLineChars="200"/>
        <w:rPr>
          <w:rFonts w:hint="eastAsia" w:ascii="宋体" w:hAnsi="宋体" w:cs="宋体"/>
          <w:sz w:val="22"/>
          <w:szCs w:val="22"/>
        </w:rPr>
      </w:pPr>
      <w:r>
        <w:rPr>
          <w:rFonts w:hint="eastAsia" w:ascii="宋体" w:hAnsi="宋体" w:cs="宋体"/>
          <w:sz w:val="22"/>
          <w:szCs w:val="22"/>
        </w:rPr>
        <w:t>5、其他。</w:t>
      </w:r>
    </w:p>
    <w:p w14:paraId="7F4E9FD5">
      <w:pPr>
        <w:spacing w:line="360" w:lineRule="auto"/>
        <w:ind w:firstLine="440" w:firstLineChars="200"/>
        <w:rPr>
          <w:rFonts w:hint="eastAsia" w:ascii="宋体" w:hAnsi="宋体" w:cs="宋体"/>
          <w:sz w:val="22"/>
          <w:szCs w:val="22"/>
        </w:rPr>
      </w:pPr>
      <w:r>
        <w:rPr>
          <w:rFonts w:hint="eastAsia" w:ascii="宋体" w:hAnsi="宋体" w:cs="宋体"/>
          <w:sz w:val="22"/>
          <w:szCs w:val="22"/>
        </w:rPr>
        <w:t>上述所指合同文件应认为是互相补充和解释的，但是有模棱两可或互相矛盾之处，以其所列内容顺序为准。</w:t>
      </w:r>
    </w:p>
    <w:p w14:paraId="237F998B">
      <w:pPr>
        <w:spacing w:line="360" w:lineRule="auto"/>
        <w:ind w:firstLine="442" w:firstLineChars="200"/>
        <w:rPr>
          <w:rFonts w:hint="eastAsia" w:ascii="宋体" w:hAnsi="宋体" w:cs="宋体"/>
          <w:b/>
          <w:bCs/>
          <w:sz w:val="22"/>
          <w:szCs w:val="22"/>
        </w:rPr>
      </w:pPr>
      <w:bookmarkStart w:id="0" w:name="_Toc9090"/>
      <w:r>
        <w:rPr>
          <w:rFonts w:hint="eastAsia" w:ascii="宋体" w:hAnsi="宋体" w:cs="宋体"/>
          <w:b/>
          <w:bCs/>
          <w:sz w:val="22"/>
          <w:szCs w:val="22"/>
        </w:rPr>
        <w:t>二、合同价款</w:t>
      </w:r>
      <w:bookmarkEnd w:id="0"/>
    </w:p>
    <w:p w14:paraId="1934DB00">
      <w:pPr>
        <w:spacing w:line="360" w:lineRule="auto"/>
        <w:ind w:firstLine="440" w:firstLineChars="200"/>
        <w:rPr>
          <w:rFonts w:hint="eastAsia" w:ascii="宋体" w:hAnsi="宋体" w:cs="宋体"/>
          <w:b/>
          <w:bCs/>
          <w:sz w:val="22"/>
          <w:szCs w:val="22"/>
        </w:rPr>
      </w:pPr>
      <w:r>
        <w:rPr>
          <w:rFonts w:hint="eastAsia" w:ascii="宋体" w:hAnsi="宋体" w:cs="宋体"/>
          <w:sz w:val="22"/>
          <w:szCs w:val="22"/>
        </w:rPr>
        <w:t>（一）合同总价款为</w:t>
      </w:r>
      <w:r>
        <w:rPr>
          <w:rFonts w:hint="eastAsia" w:ascii="宋体" w:hAnsi="宋体" w:cs="宋体"/>
          <w:b/>
          <w:bCs/>
          <w:sz w:val="22"/>
          <w:szCs w:val="22"/>
        </w:rPr>
        <w:t>人民币（大写）</w:t>
      </w:r>
      <w:r>
        <w:rPr>
          <w:rFonts w:hint="eastAsia" w:ascii="宋体" w:hAnsi="宋体" w:cs="宋体"/>
          <w:b/>
          <w:bCs/>
          <w:sz w:val="22"/>
          <w:szCs w:val="22"/>
          <w:u w:val="single"/>
        </w:rPr>
        <w:t xml:space="preserve">                    </w:t>
      </w:r>
      <w:r>
        <w:rPr>
          <w:rFonts w:hint="eastAsia" w:ascii="宋体" w:hAnsi="宋体" w:cs="宋体"/>
          <w:b/>
          <w:bCs/>
          <w:sz w:val="22"/>
          <w:szCs w:val="22"/>
        </w:rPr>
        <w:t xml:space="preserve"> （¥</w:t>
      </w:r>
      <w:r>
        <w:rPr>
          <w:rFonts w:hint="eastAsia" w:ascii="宋体" w:hAnsi="宋体" w:cs="宋体"/>
          <w:b/>
          <w:bCs/>
          <w:sz w:val="22"/>
          <w:szCs w:val="22"/>
          <w:u w:val="single"/>
        </w:rPr>
        <w:t xml:space="preserve">            </w:t>
      </w:r>
      <w:r>
        <w:rPr>
          <w:rFonts w:hint="eastAsia" w:ascii="宋体" w:hAnsi="宋体" w:cs="宋体"/>
          <w:b/>
          <w:bCs/>
          <w:sz w:val="22"/>
          <w:szCs w:val="22"/>
        </w:rPr>
        <w:t>）。</w:t>
      </w:r>
    </w:p>
    <w:p w14:paraId="00B46715">
      <w:pPr>
        <w:spacing w:line="360" w:lineRule="auto"/>
        <w:ind w:firstLine="440" w:firstLineChars="200"/>
        <w:rPr>
          <w:rFonts w:hint="eastAsia" w:ascii="宋体" w:hAnsi="宋体" w:cs="宋体"/>
          <w:sz w:val="22"/>
          <w:szCs w:val="22"/>
        </w:rPr>
      </w:pPr>
      <w:r>
        <w:rPr>
          <w:rFonts w:hint="eastAsia" w:ascii="宋体" w:hAnsi="宋体" w:cs="宋体"/>
          <w:sz w:val="22"/>
          <w:szCs w:val="22"/>
        </w:rPr>
        <w:t>（二）合同总价款是指完成本次服务包含的所有费用，包括但不限于本次项目的人工费、服务费、管理费、为提供服务所需的设备费、税金等所有费用，服务期内采购人不再增加任何费用。</w:t>
      </w:r>
    </w:p>
    <w:p w14:paraId="69562554">
      <w:pPr>
        <w:spacing w:line="360" w:lineRule="auto"/>
        <w:ind w:firstLine="440" w:firstLineChars="200"/>
        <w:rPr>
          <w:rFonts w:hint="eastAsia" w:ascii="宋体" w:hAnsi="宋体" w:cs="宋体"/>
          <w:sz w:val="22"/>
          <w:szCs w:val="22"/>
        </w:rPr>
      </w:pPr>
      <w:r>
        <w:rPr>
          <w:rFonts w:hint="eastAsia" w:ascii="宋体" w:hAnsi="宋体" w:cs="宋体"/>
          <w:sz w:val="22"/>
          <w:szCs w:val="22"/>
        </w:rPr>
        <w:t>（三）合同总价一次性包干，不受市场价格变化因素的影响。</w:t>
      </w:r>
    </w:p>
    <w:p w14:paraId="33726430">
      <w:pPr>
        <w:spacing w:line="360" w:lineRule="auto"/>
        <w:ind w:firstLine="442" w:firstLineChars="200"/>
        <w:rPr>
          <w:rFonts w:hint="eastAsia" w:ascii="宋体" w:hAnsi="宋体" w:cs="宋体"/>
          <w:b/>
          <w:sz w:val="22"/>
          <w:szCs w:val="22"/>
        </w:rPr>
      </w:pPr>
      <w:bookmarkStart w:id="1" w:name="_Toc5628"/>
      <w:r>
        <w:rPr>
          <w:rFonts w:hint="eastAsia" w:ascii="宋体" w:hAnsi="宋体" w:cs="宋体"/>
          <w:b/>
          <w:sz w:val="22"/>
          <w:szCs w:val="22"/>
        </w:rPr>
        <w:t>三、款项结算</w:t>
      </w:r>
      <w:bookmarkEnd w:id="1"/>
    </w:p>
    <w:p w14:paraId="207B2C2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bCs/>
          <w:kern w:val="0"/>
          <w:sz w:val="22"/>
          <w:szCs w:val="22"/>
        </w:rPr>
      </w:pPr>
      <w:r>
        <w:rPr>
          <w:rFonts w:hint="eastAsia" w:ascii="宋体" w:hAnsi="宋体" w:cs="宋体"/>
          <w:kern w:val="0"/>
          <w:sz w:val="22"/>
          <w:szCs w:val="22"/>
        </w:rPr>
        <w:t>（一）合同价款的支付：</w:t>
      </w:r>
      <w:bookmarkStart w:id="2" w:name="_Hlk106572534"/>
      <w:r>
        <w:rPr>
          <w:rFonts w:hint="eastAsia" w:ascii="宋体" w:hAnsi="宋体" w:cs="宋体"/>
          <w:kern w:val="0"/>
          <w:sz w:val="22"/>
          <w:szCs w:val="22"/>
        </w:rPr>
        <w:t>合同签订后，采购人支付合同总额的40%；中标供应商按照服务要求全部完成服务，验收合格后支付剩余60%合同价款</w:t>
      </w:r>
      <w:r>
        <w:rPr>
          <w:rFonts w:hint="eastAsia" w:ascii="宋体" w:hAnsi="宋体" w:cs="宋体"/>
          <w:b/>
          <w:bCs/>
          <w:kern w:val="0"/>
          <w:sz w:val="22"/>
          <w:szCs w:val="22"/>
        </w:rPr>
        <w:t xml:space="preserve">。 </w:t>
      </w:r>
    </w:p>
    <w:bookmarkEnd w:id="2"/>
    <w:p w14:paraId="338183A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（二）支付方式：银行转账。</w:t>
      </w:r>
    </w:p>
    <w:p w14:paraId="1B1F27C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（三）结算方式：由采购人负责结算，合同签订后，中标人在接受付款前，开具等额发票给采购人。</w:t>
      </w:r>
    </w:p>
    <w:p w14:paraId="0E396432">
      <w:pPr>
        <w:spacing w:line="360" w:lineRule="auto"/>
        <w:ind w:firstLine="442" w:firstLineChars="200"/>
        <w:rPr>
          <w:rFonts w:ascii="宋体" w:hAnsi="宋体" w:cs="宋体"/>
          <w:b/>
          <w:sz w:val="22"/>
          <w:szCs w:val="22"/>
        </w:rPr>
      </w:pPr>
      <w:r>
        <w:rPr>
          <w:rFonts w:hint="eastAsia" w:ascii="宋体" w:hAnsi="宋体" w:cs="宋体"/>
          <w:b/>
          <w:sz w:val="22"/>
          <w:szCs w:val="22"/>
        </w:rPr>
        <w:t>四、服务具体指标</w:t>
      </w:r>
    </w:p>
    <w:p w14:paraId="69AC12F1">
      <w:pPr>
        <w:spacing w:line="360" w:lineRule="auto"/>
        <w:ind w:firstLine="482" w:firstLineChars="200"/>
        <w:rPr>
          <w:rFonts w:ascii="宋体" w:hAnsi="宋体" w:cs="宋体"/>
          <w:b/>
          <w:bCs/>
          <w:sz w:val="24"/>
        </w:rPr>
      </w:pPr>
      <w:r>
        <w:rPr>
          <w:rFonts w:hint="eastAsia" w:ascii="宋体" w:hAnsi="宋体" w:cs="宋体"/>
          <w:b/>
          <w:bCs/>
          <w:sz w:val="24"/>
        </w:rPr>
        <w:t>（1）服务内容</w:t>
      </w:r>
    </w:p>
    <w:p w14:paraId="557A71CD">
      <w:pPr>
        <w:widowControl/>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b w:val="0"/>
          <w:bCs w:val="0"/>
          <w:kern w:val="0"/>
          <w:sz w:val="22"/>
          <w:szCs w:val="22"/>
          <w:lang w:eastAsia="zh-CN"/>
        </w:rPr>
      </w:pPr>
      <w:r>
        <w:rPr>
          <w:rFonts w:hint="eastAsia" w:ascii="宋体" w:hAnsi="宋体" w:cs="宋体"/>
          <w:b w:val="0"/>
          <w:bCs w:val="0"/>
          <w:kern w:val="0"/>
          <w:sz w:val="22"/>
          <w:szCs w:val="22"/>
        </w:rPr>
        <w:t>负责渭南市113个市控空气站所有监测仪器、气象仪器、质控设备、数据采集与传输设备、辅助设备、防雷等基础设施的日常维护、数据审核、质量控制、故障维修、必要的质控设备检定或溯源等工作，同时负责站房管理与维护，电力与网络通讯故障报修，支付站房电力、网络通讯相应费用，接受渭南市环境保护监测站的质控检查与考核，确保站点各项监测仪器正常稳定运行并与省、市、县生态环境部门联网正常。</w:t>
      </w:r>
      <w:r>
        <w:rPr>
          <w:rFonts w:hint="eastAsia" w:ascii="宋体" w:hAnsi="宋体" w:cs="宋体"/>
          <w:b w:val="0"/>
          <w:bCs w:val="0"/>
          <w:kern w:val="0"/>
          <w:sz w:val="22"/>
          <w:szCs w:val="22"/>
          <w:lang w:eastAsia="zh-CN"/>
        </w:rPr>
        <w:t>（</w:t>
      </w:r>
      <w:r>
        <w:rPr>
          <w:rFonts w:hint="eastAsia" w:ascii="宋体" w:hAnsi="宋体" w:cs="宋体"/>
          <w:b w:val="0"/>
          <w:bCs w:val="0"/>
          <w:kern w:val="0"/>
          <w:sz w:val="22"/>
          <w:szCs w:val="22"/>
          <w:lang w:val="en-US" w:eastAsia="zh-CN"/>
        </w:rPr>
        <w:t>具体详见附件1</w:t>
      </w:r>
      <w:r>
        <w:rPr>
          <w:rFonts w:hint="eastAsia" w:ascii="宋体" w:hAnsi="宋体" w:cs="宋体"/>
          <w:b w:val="0"/>
          <w:bCs w:val="0"/>
          <w:kern w:val="0"/>
          <w:sz w:val="22"/>
          <w:szCs w:val="22"/>
          <w:lang w:eastAsia="zh-CN"/>
        </w:rPr>
        <w:t>）</w:t>
      </w:r>
    </w:p>
    <w:p w14:paraId="3A332686">
      <w:pPr>
        <w:widowControl/>
        <w:tabs>
          <w:tab w:val="left" w:pos="0"/>
          <w:tab w:val="left" w:pos="437"/>
          <w:tab w:val="left" w:pos="1311"/>
        </w:tabs>
        <w:adjustRightInd w:val="0"/>
        <w:snapToGrid w:val="0"/>
        <w:spacing w:line="360" w:lineRule="auto"/>
        <w:ind w:firstLine="442" w:firstLineChars="200"/>
        <w:jc w:val="left"/>
        <w:rPr>
          <w:rFonts w:ascii="宋体" w:hAnsi="宋体" w:cs="宋体"/>
          <w:b/>
          <w:bCs/>
          <w:kern w:val="0"/>
          <w:sz w:val="22"/>
          <w:szCs w:val="22"/>
        </w:rPr>
      </w:pPr>
      <w:r>
        <w:rPr>
          <w:rFonts w:hint="eastAsia" w:ascii="宋体" w:hAnsi="宋体" w:cs="宋体"/>
          <w:b/>
          <w:bCs/>
          <w:kern w:val="0"/>
          <w:sz w:val="22"/>
          <w:szCs w:val="22"/>
        </w:rPr>
        <w:t>（2）合同履约期限</w:t>
      </w:r>
    </w:p>
    <w:p w14:paraId="595C3AD7">
      <w:pPr>
        <w:spacing w:line="360" w:lineRule="auto"/>
        <w:ind w:firstLine="440" w:firstLineChars="200"/>
        <w:rPr>
          <w:rFonts w:hint="eastAsia" w:ascii="宋体" w:hAnsi="宋体" w:cs="宋体"/>
          <w:sz w:val="22"/>
          <w:szCs w:val="22"/>
        </w:rPr>
      </w:pPr>
      <w:r>
        <w:rPr>
          <w:rFonts w:hint="eastAsia" w:ascii="宋体" w:hAnsi="宋体" w:cs="宋体"/>
          <w:sz w:val="22"/>
          <w:szCs w:val="22"/>
        </w:rPr>
        <w:t>服务期：46个老站运维服务时间为16个月（2025年8月-2026年11月），67个新站运维服务时间为12个月（2025年12月-2026年11月）。</w:t>
      </w:r>
    </w:p>
    <w:p w14:paraId="78B73E57">
      <w:pPr>
        <w:widowControl/>
        <w:tabs>
          <w:tab w:val="left" w:pos="0"/>
          <w:tab w:val="left" w:pos="437"/>
          <w:tab w:val="left" w:pos="1311"/>
        </w:tabs>
        <w:adjustRightInd w:val="0"/>
        <w:snapToGrid w:val="0"/>
        <w:spacing w:line="360" w:lineRule="auto"/>
        <w:ind w:firstLine="442" w:firstLineChars="200"/>
        <w:jc w:val="left"/>
        <w:rPr>
          <w:rFonts w:hint="default" w:ascii="宋体" w:hAnsi="宋体" w:eastAsia="宋体" w:cs="宋体"/>
          <w:b/>
          <w:bCs/>
          <w:kern w:val="0"/>
          <w:sz w:val="22"/>
          <w:szCs w:val="22"/>
          <w:lang w:val="en-US" w:eastAsia="zh-CN"/>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3</w:t>
      </w: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服务地点</w:t>
      </w:r>
    </w:p>
    <w:p w14:paraId="4316446B">
      <w:pPr>
        <w:widowControl/>
        <w:tabs>
          <w:tab w:val="left" w:pos="0"/>
          <w:tab w:val="left" w:pos="437"/>
          <w:tab w:val="left" w:pos="1311"/>
        </w:tabs>
        <w:adjustRightInd w:val="0"/>
        <w:snapToGrid w:val="0"/>
        <w:spacing w:line="360" w:lineRule="auto"/>
        <w:ind w:firstLine="442" w:firstLineChars="200"/>
        <w:jc w:val="left"/>
        <w:rPr>
          <w:rFonts w:hint="eastAsia" w:ascii="宋体" w:hAnsi="宋体" w:eastAsia="宋体" w:cs="宋体"/>
          <w:b/>
          <w:bCs/>
          <w:kern w:val="0"/>
          <w:sz w:val="22"/>
          <w:szCs w:val="22"/>
          <w:lang w:val="en-US" w:eastAsia="zh-CN"/>
        </w:rPr>
      </w:pPr>
      <w:r>
        <w:rPr>
          <w:rFonts w:hint="eastAsia" w:ascii="宋体" w:hAnsi="宋体" w:cs="宋体"/>
          <w:b/>
          <w:bCs/>
          <w:kern w:val="0"/>
          <w:sz w:val="22"/>
          <w:szCs w:val="22"/>
          <w:lang w:val="en-US" w:eastAsia="zh-CN"/>
        </w:rPr>
        <w:t>渭南市</w:t>
      </w:r>
      <w:r>
        <w:rPr>
          <w:rFonts w:hint="eastAsia" w:ascii="宋体" w:hAnsi="宋体" w:cs="宋体"/>
          <w:b w:val="0"/>
          <w:bCs w:val="0"/>
          <w:kern w:val="0"/>
          <w:sz w:val="22"/>
          <w:szCs w:val="22"/>
          <w:lang w:eastAsia="zh-CN"/>
        </w:rPr>
        <w:t>（</w:t>
      </w:r>
      <w:r>
        <w:rPr>
          <w:rFonts w:hint="eastAsia" w:ascii="宋体" w:hAnsi="宋体" w:cs="宋体"/>
          <w:b w:val="0"/>
          <w:bCs w:val="0"/>
          <w:kern w:val="0"/>
          <w:sz w:val="22"/>
          <w:szCs w:val="22"/>
          <w:lang w:val="en-US" w:eastAsia="zh-CN"/>
        </w:rPr>
        <w:t>具体详见附件2</w:t>
      </w:r>
      <w:r>
        <w:rPr>
          <w:rFonts w:hint="eastAsia" w:ascii="宋体" w:hAnsi="宋体" w:cs="宋体"/>
          <w:b w:val="0"/>
          <w:bCs w:val="0"/>
          <w:kern w:val="0"/>
          <w:sz w:val="22"/>
          <w:szCs w:val="22"/>
          <w:lang w:eastAsia="zh-CN"/>
        </w:rPr>
        <w:t>）</w:t>
      </w:r>
    </w:p>
    <w:p w14:paraId="4F54C5AD">
      <w:pPr>
        <w:widowControl/>
        <w:tabs>
          <w:tab w:val="left" w:pos="0"/>
          <w:tab w:val="left" w:pos="437"/>
          <w:tab w:val="left" w:pos="1311"/>
        </w:tabs>
        <w:adjustRightInd w:val="0"/>
        <w:snapToGrid w:val="0"/>
        <w:spacing w:line="360" w:lineRule="auto"/>
        <w:ind w:firstLine="442" w:firstLineChars="200"/>
        <w:jc w:val="left"/>
        <w:rPr>
          <w:rFonts w:hint="default" w:ascii="宋体" w:hAnsi="宋体" w:eastAsia="宋体" w:cs="宋体"/>
          <w:b/>
          <w:bCs/>
          <w:kern w:val="0"/>
          <w:sz w:val="22"/>
          <w:szCs w:val="22"/>
          <w:lang w:val="en-US" w:eastAsia="zh-CN"/>
        </w:rPr>
      </w:pPr>
      <w:r>
        <w:rPr>
          <w:rFonts w:hint="eastAsia" w:ascii="宋体" w:hAnsi="宋体" w:cs="宋体"/>
          <w:b/>
          <w:bCs/>
          <w:kern w:val="0"/>
          <w:sz w:val="22"/>
          <w:szCs w:val="22"/>
          <w:lang w:val="en-US" w:eastAsia="zh-CN"/>
        </w:rPr>
        <w:t>五、服务要求</w:t>
      </w:r>
    </w:p>
    <w:p w14:paraId="53F7E3D9">
      <w:pPr>
        <w:widowControl/>
        <w:tabs>
          <w:tab w:val="left" w:pos="0"/>
          <w:tab w:val="left" w:pos="437"/>
          <w:tab w:val="left" w:pos="1311"/>
        </w:tabs>
        <w:adjustRightInd w:val="0"/>
        <w:snapToGrid w:val="0"/>
        <w:spacing w:line="360" w:lineRule="auto"/>
        <w:ind w:firstLine="442" w:firstLineChars="200"/>
        <w:jc w:val="left"/>
        <w:rPr>
          <w:rFonts w:hint="default" w:ascii="宋体" w:hAnsi="宋体" w:eastAsia="宋体" w:cs="宋体"/>
          <w:b/>
          <w:bCs/>
          <w:kern w:val="0"/>
          <w:sz w:val="22"/>
          <w:szCs w:val="22"/>
          <w:lang w:val="en-US" w:eastAsia="zh-CN"/>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一</w:t>
      </w: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服务工作要求</w:t>
      </w:r>
    </w:p>
    <w:p w14:paraId="2E14D89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1.</w:t>
      </w:r>
      <w:r>
        <w:rPr>
          <w:rFonts w:hint="eastAsia" w:ascii="宋体" w:hAnsi="宋体" w:cs="宋体"/>
          <w:b w:val="0"/>
          <w:bCs w:val="0"/>
          <w:kern w:val="0"/>
          <w:sz w:val="22"/>
          <w:szCs w:val="22"/>
          <w:lang w:eastAsia="zh-CN"/>
        </w:rPr>
        <w:t>乙方</w:t>
      </w:r>
      <w:r>
        <w:rPr>
          <w:rFonts w:hint="eastAsia" w:ascii="宋体" w:hAnsi="宋体" w:cs="宋体"/>
          <w:b w:val="0"/>
          <w:bCs w:val="0"/>
          <w:kern w:val="0"/>
          <w:sz w:val="22"/>
          <w:szCs w:val="22"/>
        </w:rPr>
        <w:t>至少拥有1个运维支持机构，并建有空气自动站运维系统支持实验室和质量控制实验室（须提供承诺函）。</w:t>
      </w:r>
    </w:p>
    <w:p w14:paraId="3A8292B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2.</w:t>
      </w:r>
      <w:r>
        <w:rPr>
          <w:rFonts w:hint="eastAsia" w:ascii="宋体" w:hAnsi="宋体" w:cs="宋体"/>
          <w:b w:val="0"/>
          <w:bCs w:val="0"/>
          <w:kern w:val="0"/>
          <w:sz w:val="22"/>
          <w:szCs w:val="22"/>
          <w:lang w:eastAsia="zh-CN"/>
        </w:rPr>
        <w:t>乙方</w:t>
      </w:r>
      <w:r>
        <w:rPr>
          <w:rFonts w:hint="eastAsia" w:ascii="宋体" w:hAnsi="宋体" w:cs="宋体"/>
          <w:b w:val="0"/>
          <w:bCs w:val="0"/>
          <w:kern w:val="0"/>
          <w:sz w:val="22"/>
          <w:szCs w:val="22"/>
        </w:rPr>
        <w:t>应建立健全内部质控体系，明确质控组成员及职责，确保质控工作有效开展。同时，加强质控记录的档案管理，确保质控活动的每一项操作都有详细、准确的记录作为支撑材料。质控记录需定期提交渭南市环境保护监测站审核。</w:t>
      </w:r>
    </w:p>
    <w:p w14:paraId="4C200133">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3.应保证配备的专业技术人员数量与其负责日常维护的站点数量比值不低于 1/4（须提供承诺函），所有技术人员须提供不少于3个月的社保缴费证明。</w:t>
      </w:r>
    </w:p>
    <w:p w14:paraId="06CB1AE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4.应保证配备的专用巡检车辆数量与负责日常维护的站点数量比值不低于1/8。同时配备1辆驻站保障车，用于运维技术管理工作的日常飞行检查、异常数值现场排查等各类检查工作。（须提供承诺函）</w:t>
      </w:r>
    </w:p>
    <w:p w14:paraId="28DBEBE7">
      <w:pPr>
        <w:widowControl/>
        <w:tabs>
          <w:tab w:val="left" w:pos="0"/>
          <w:tab w:val="left" w:pos="437"/>
          <w:tab w:val="left" w:pos="1311"/>
        </w:tabs>
        <w:adjustRightInd w:val="0"/>
        <w:snapToGrid w:val="0"/>
        <w:spacing w:line="360" w:lineRule="auto"/>
        <w:jc w:val="left"/>
        <w:rPr>
          <w:rFonts w:hint="eastAsia" w:ascii="宋体" w:hAnsi="宋体" w:cs="宋体"/>
          <w:b w:val="0"/>
          <w:bCs w:val="0"/>
          <w:kern w:val="0"/>
          <w:sz w:val="22"/>
          <w:szCs w:val="22"/>
        </w:rPr>
      </w:pPr>
      <w:r>
        <w:rPr>
          <w:rFonts w:hint="eastAsia" w:ascii="宋体" w:hAnsi="宋体" w:cs="宋体"/>
          <w:b w:val="0"/>
          <w:bCs w:val="0"/>
          <w:kern w:val="0"/>
          <w:sz w:val="22"/>
          <w:szCs w:val="22"/>
        </w:rPr>
        <w:t xml:space="preserve">    5.安排至少2名技术人员驻站，负责运维技术管理，汇集、梳理各类数据，编制报表,协调处置异常站点,完成市站安排临时性工作，技术人员须持有国家或省级环境空气质量自动监测类上岗证。</w:t>
      </w:r>
    </w:p>
    <w:p w14:paraId="485475E3">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6.项目应配备必要的质量控制设备，主要包括：SO2、NO、CO标准气体（每个站点1套），标准流量计、温度湿度计、气压计1套/8站、臭氧校准仪1套/20站。标准流量计、温湿度计、气压计和臭氧校准仪通过溯源或校准（提供承诺函）。</w:t>
      </w:r>
    </w:p>
    <w:p w14:paraId="542C156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7.应配备至少1台十万分之一的分析天平和1台恒温恒湿平衡装置，配备必要数量的PM10和PM2.5手工比对采样器采样器应通过环境监测仪器质量检验中心的适用性检测的小流量采样器（16.7L/min），颗粒物手工比对核查需按照相关技术规范要求监测。天平、恒温恒湿装置和采样器须提供相应的有效期内的鉴定或校准证书。</w:t>
      </w:r>
    </w:p>
    <w:p w14:paraId="76D6034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8.每8个站点配置1套标准站备机（须提供承诺函、现场查验），备机须通过生态环境部的仪器适用性监测。投标单位须提供备机库存清单（包括但不限于设备品名、品牌、型号、数量等）。</w:t>
      </w:r>
    </w:p>
    <w:p w14:paraId="6B08FC6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 xml:space="preserve">9.采购服务期结束后，运维交接过度期（1 个月）期间运维工作以空气站正常稳定运行为目的，备机、标准气体以实际工作需要为准，不得到期撤离、更换。 </w:t>
      </w:r>
    </w:p>
    <w:p w14:paraId="6307D394">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二</w:t>
      </w:r>
      <w:r>
        <w:rPr>
          <w:rFonts w:hint="eastAsia" w:ascii="宋体" w:hAnsi="宋体" w:cs="宋体"/>
          <w:b/>
          <w:bCs/>
          <w:kern w:val="0"/>
          <w:sz w:val="22"/>
          <w:szCs w:val="22"/>
          <w:lang w:eastAsia="zh-CN"/>
        </w:rPr>
        <w:t>）</w:t>
      </w:r>
      <w:r>
        <w:rPr>
          <w:rFonts w:hint="eastAsia" w:ascii="宋体" w:hAnsi="宋体" w:cs="宋体"/>
          <w:b/>
          <w:bCs/>
          <w:kern w:val="0"/>
          <w:sz w:val="22"/>
          <w:szCs w:val="22"/>
        </w:rPr>
        <w:t>运维技术要求</w:t>
      </w:r>
    </w:p>
    <w:p w14:paraId="49CE7A9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1.</w:t>
      </w:r>
      <w:r>
        <w:rPr>
          <w:rFonts w:hint="eastAsia" w:ascii="宋体" w:hAnsi="宋体" w:cs="宋体"/>
          <w:b w:val="0"/>
          <w:bCs w:val="0"/>
          <w:kern w:val="0"/>
          <w:sz w:val="22"/>
          <w:szCs w:val="22"/>
          <w:lang w:eastAsia="zh-CN"/>
        </w:rPr>
        <w:t>乙方</w:t>
      </w:r>
      <w:r>
        <w:rPr>
          <w:rFonts w:hint="eastAsia" w:ascii="宋体" w:hAnsi="宋体" w:cs="宋体"/>
          <w:b w:val="0"/>
          <w:bCs w:val="0"/>
          <w:kern w:val="0"/>
          <w:sz w:val="22"/>
          <w:szCs w:val="22"/>
        </w:rPr>
        <w:t>应遵守国、省、市关于空气自动站运行管理的各项规定，如运维期间国、省、市出台新的空气自动站运行管理规定，则运维工作要求随之执行最新规定。</w:t>
      </w:r>
    </w:p>
    <w:p w14:paraId="54BC0AD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2.做好市控空气自动站数据采集及传输系统的维护及维修，保障空气站与市站、省站、国家总站直联通讯正常。每年对符合要求的空气站开展一次颗粒物手工比对核查；当仪器出现故障不能及时修复时，应在24小时内使用备机开展监测；当仪器损坏报废不能修复时，应在24小时之内使用长期备机开展监测，向市站报告，市站组织确认仪器损坏情况酌情处理。</w:t>
      </w:r>
    </w:p>
    <w:p w14:paraId="0E9AF641">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3.运维工作一般要求</w:t>
      </w:r>
    </w:p>
    <w:p w14:paraId="08ECC55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保持站房内部环境清洁，布置整齐，各仪器设备干净清洁，设备标识清楚；检查供电、电话及网络通讯的情况，保证系统的正常运行;保证空调正常工作，仪器运行温度保持在25℃左右，站房内温度日波动范围小于3℃，相对湿度保持在80%RH以下；指派专人维护，设备固定牢固，门窗关闭良好，人走关门，非工作人员未经许可不得入内；定期检查消防和安全设施；每次维护后做好系统运行维护记录；进行维护时，应规范操作，注意安全，防止意外发生。</w:t>
      </w:r>
    </w:p>
    <w:p w14:paraId="07318056">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三</w:t>
      </w:r>
      <w:r>
        <w:rPr>
          <w:rFonts w:hint="eastAsia" w:ascii="宋体" w:hAnsi="宋体" w:cs="宋体"/>
          <w:b/>
          <w:bCs/>
          <w:kern w:val="0"/>
          <w:sz w:val="22"/>
          <w:szCs w:val="22"/>
          <w:lang w:eastAsia="zh-CN"/>
        </w:rPr>
        <w:t>）</w:t>
      </w:r>
      <w:r>
        <w:rPr>
          <w:rFonts w:hint="eastAsia" w:ascii="宋体" w:hAnsi="宋体" w:cs="宋体"/>
          <w:b/>
          <w:bCs/>
          <w:kern w:val="0"/>
          <w:sz w:val="22"/>
          <w:szCs w:val="22"/>
        </w:rPr>
        <w:t>售后服务及培训要求</w:t>
      </w:r>
    </w:p>
    <w:p w14:paraId="08592CB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1</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乙方负责办理与原建设运维单位的交接手续，确认所运维设备数量及性 能完好，并做好交接登记等工作。确保监测数据不间断运行，运维工作严格按照 技术要求的工作内容进行。</w:t>
      </w:r>
    </w:p>
    <w:p w14:paraId="0E7D748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2</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乙方负责将耗材备机等运抵采购单位指定服务地点，并完成与本项目运 维有关的全部工作。凡人员车辆保险、税金、耗材备机的包装运输、仪器设备的 运维调试、相关技术培训、售后服务、设备系统技术升级等，所有费用一次性计 入投标总价。</w:t>
      </w:r>
    </w:p>
    <w:p w14:paraId="01F9C02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 w:val="0"/>
          <w:bCs w:val="0"/>
          <w:kern w:val="0"/>
          <w:sz w:val="22"/>
          <w:szCs w:val="22"/>
        </w:rPr>
      </w:pPr>
      <w:r>
        <w:rPr>
          <w:rFonts w:hint="eastAsia" w:ascii="宋体" w:hAnsi="宋体" w:cs="宋体"/>
          <w:b w:val="0"/>
          <w:bCs w:val="0"/>
          <w:kern w:val="0"/>
          <w:sz w:val="22"/>
          <w:szCs w:val="22"/>
        </w:rPr>
        <w:t>3</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乙方提供的耗材备机等在运至甲方指定地点时，包装运输满足《关于印  发&lt;商品包装政府采购需求标准(试行)&gt;《快递包装政府采购需求标准(试行)&gt;》 (财办库〔2020)123号〕要求，采用绿色包装和绿色运输。包装运输应采取防  潮、防晒、防锈、防腐蚀、防震动及防止其它损坏的必要保护措施，从而保护货物能够经受多次搬运、装卸及长途运输。乙方应承担由于其包装或防护措施不妥 而引起的货物锈蚀、损坏和丢失等任何损失造成的责任或费用。</w:t>
      </w:r>
    </w:p>
    <w:p w14:paraId="42339BE0">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 w:val="0"/>
          <w:bCs w:val="0"/>
          <w:kern w:val="0"/>
          <w:sz w:val="22"/>
          <w:szCs w:val="22"/>
        </w:rPr>
      </w:pPr>
      <w:r>
        <w:rPr>
          <w:rFonts w:hint="eastAsia" w:ascii="宋体" w:hAnsi="宋体" w:cs="宋体"/>
          <w:b w:val="0"/>
          <w:bCs w:val="0"/>
          <w:kern w:val="0"/>
          <w:sz w:val="22"/>
          <w:szCs w:val="22"/>
        </w:rPr>
        <w:t>4</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乙方须免费提供具体可行的技术培训服务。</w:t>
      </w:r>
    </w:p>
    <w:p w14:paraId="657B818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 w:val="0"/>
          <w:bCs w:val="0"/>
          <w:kern w:val="0"/>
          <w:sz w:val="22"/>
          <w:szCs w:val="22"/>
        </w:rPr>
      </w:pPr>
      <w:r>
        <w:rPr>
          <w:rFonts w:hint="eastAsia" w:ascii="宋体" w:hAnsi="宋体" w:cs="宋体"/>
          <w:b w:val="0"/>
          <w:bCs w:val="0"/>
          <w:kern w:val="0"/>
          <w:sz w:val="22"/>
          <w:szCs w:val="22"/>
        </w:rPr>
        <w:t>(1)培训地点：甲方指定地点；</w:t>
      </w:r>
    </w:p>
    <w:p w14:paraId="4D77509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(2)培训对象：甲方指定的技术人员及管理人员；</w:t>
      </w:r>
    </w:p>
    <w:p w14:paraId="1EF144F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(3)培训人数及时间：由甲方根据项目进度决定；</w:t>
      </w:r>
    </w:p>
    <w:p w14:paraId="526BB683">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(4)培训内容：操作原理、操作维护方法、排除故障等各个方面；</w:t>
      </w:r>
    </w:p>
    <w:p w14:paraId="490C933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(5)培训目的：熟练操作设备及系统、能够排除一般故障；</w:t>
      </w:r>
    </w:p>
    <w:p w14:paraId="3D5F758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(6)售后响应时间：接到甲方售后要求后，2小时内响应，4小时内给出 解决方案，8小时内安排专人到达现场，12小时内解决问题。</w:t>
      </w:r>
    </w:p>
    <w:p w14:paraId="32632494">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lang w:val="en-US" w:eastAsia="zh-CN"/>
        </w:rPr>
        <w:t>六</w:t>
      </w:r>
      <w:r>
        <w:rPr>
          <w:rFonts w:hint="eastAsia" w:ascii="宋体" w:hAnsi="宋体" w:cs="宋体"/>
          <w:b/>
          <w:bCs/>
          <w:kern w:val="0"/>
          <w:sz w:val="22"/>
          <w:szCs w:val="22"/>
        </w:rPr>
        <w:t>、技术资料</w:t>
      </w:r>
    </w:p>
    <w:p w14:paraId="735F52DA">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1.知识产权归属</w:t>
      </w:r>
    </w:p>
    <w:p w14:paraId="52F4AF14">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(1)乙方向甲方提交的成果以及乙方在本项目服务过程中形成的专利、秘密 信息、技术资料和文件的知识产权归甲方单独所有。乙方在本合同签署之前已经  拥有的知识产权和乙方按照本合同约定使用的第三方的知识产权以及通用科学  技术方法除外。(2)除非甲方书面同意，乙方不得以任何方式向第三方披露、转让和许可有 关的数据、秘密信息、技术资料、文件等。</w:t>
      </w:r>
    </w:p>
    <w:p w14:paraId="2D3160B1">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(3)除本项目服务需要之外，未得到甲方的书面许可，乙方不得以任何方式 商业性地利用上述资料和技术。</w:t>
      </w:r>
    </w:p>
    <w:p w14:paraId="1A3DCF35">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drawing>
          <wp:anchor distT="0" distB="0" distL="0" distR="0" simplePos="0" relativeHeight="251659264" behindDoc="1" locked="0" layoutInCell="1" allowOverlap="1">
            <wp:simplePos x="0" y="0"/>
            <wp:positionH relativeFrom="column">
              <wp:posOffset>6249035</wp:posOffset>
            </wp:positionH>
            <wp:positionV relativeFrom="paragraph">
              <wp:posOffset>645795</wp:posOffset>
            </wp:positionV>
            <wp:extent cx="147955" cy="1441450"/>
            <wp:effectExtent l="0" t="0" r="4445" b="6350"/>
            <wp:wrapNone/>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4"/>
                    <a:stretch>
                      <a:fillRect/>
                    </a:stretch>
                  </pic:blipFill>
                  <pic:spPr>
                    <a:xfrm>
                      <a:off x="0" y="0"/>
                      <a:ext cx="147646" cy="1441739"/>
                    </a:xfrm>
                    <a:prstGeom prst="rect">
                      <a:avLst/>
                    </a:prstGeom>
                  </pic:spPr>
                </pic:pic>
              </a:graphicData>
            </a:graphic>
          </wp:anchor>
        </w:drawing>
      </w:r>
      <w:r>
        <w:rPr>
          <w:rFonts w:hint="eastAsia" w:ascii="宋体" w:hAnsi="宋体" w:cs="宋体"/>
          <w:b w:val="0"/>
          <w:bCs/>
          <w:kern w:val="0"/>
          <w:sz w:val="22"/>
          <w:szCs w:val="22"/>
          <w:lang w:val="en-US" w:eastAsia="zh-CN"/>
        </w:rPr>
        <w:t>2.禁止对第三方造成侵权乙方应当保证其提供的成果及服务过程不侵害任 何第三方的知识产权。如乙方需要使用第三方的知识产权，应当在使用前合法的 获得使用该等知识产权的许可，并在获得许可后7日内将相关协议及许可文件复 印件报甲方备案。乙方为本合同履行之目的使用自身或第三方知识产权的费用已 包含在合同价款中，甲方不再另行支付。</w:t>
      </w:r>
    </w:p>
    <w:p w14:paraId="5F10942F">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3.乙方保证甲方及甲方授权代表能够合法地使用乙方提供的成果。如果任 何第三人因甲方及甲方授权代表使用成果提出有关知识产权的任何索赔或要求  的，由此给甲方造成的一切损失由乙方承担(包括但不限于赔偿、补偿、诉讼费、 仲裁费用、律师费、甲方的其他损失等)。</w:t>
      </w:r>
    </w:p>
    <w:p w14:paraId="0F45C6B8">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4.本合同条款的规定不因本合同的到期而失效。</w:t>
      </w:r>
    </w:p>
    <w:p w14:paraId="6C28BCEA">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5.本合同约定的知识产权条款若有争议，均以中华人民共和国相关法律规 定为准。</w:t>
      </w:r>
    </w:p>
    <w:p w14:paraId="69226EC5">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6.技术文件均应按“技术部分”要求提交并经甲方确认。</w:t>
      </w:r>
    </w:p>
    <w:p w14:paraId="6B84834F">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7.乙方应承担甲方完全按照技术文件的指导进行工作而导致损失的责任。</w:t>
      </w:r>
    </w:p>
    <w:p w14:paraId="7824D8FB">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8.技术文件的全部费用已包含在合同价中。</w:t>
      </w:r>
    </w:p>
    <w:p w14:paraId="7DEC5279">
      <w:pPr>
        <w:pStyle w:val="2"/>
        <w:rPr>
          <w:rFonts w:hint="eastAsia" w:ascii="宋体" w:hAnsi="宋体" w:cs="宋体"/>
          <w:b w:val="0"/>
          <w:bCs/>
          <w:kern w:val="0"/>
          <w:sz w:val="22"/>
          <w:szCs w:val="22"/>
          <w:lang w:val="en-US" w:eastAsia="zh-CN"/>
        </w:rPr>
      </w:pPr>
    </w:p>
    <w:p w14:paraId="0739C903">
      <w:pPr>
        <w:tabs>
          <w:tab w:val="left" w:pos="0"/>
          <w:tab w:val="left" w:pos="437"/>
          <w:tab w:val="left" w:pos="1311"/>
        </w:tabs>
        <w:adjustRightInd w:val="0"/>
        <w:snapToGrid w:val="0"/>
        <w:spacing w:line="360" w:lineRule="auto"/>
        <w:jc w:val="left"/>
        <w:rPr>
          <w:rFonts w:hint="eastAsia" w:ascii="宋体" w:hAnsi="宋体" w:cs="宋体"/>
          <w:kern w:val="0"/>
          <w:sz w:val="22"/>
          <w:szCs w:val="22"/>
        </w:rPr>
      </w:pPr>
      <w:r>
        <w:rPr>
          <w:rFonts w:hint="eastAsia" w:ascii="宋体" w:hAnsi="宋体" w:cs="宋体"/>
          <w:b/>
          <w:kern w:val="0"/>
          <w:sz w:val="22"/>
          <w:szCs w:val="22"/>
          <w:lang w:val="en-US" w:eastAsia="zh-CN"/>
        </w:rPr>
        <w:t>七</w:t>
      </w:r>
      <w:r>
        <w:rPr>
          <w:rFonts w:hint="eastAsia" w:ascii="宋体" w:hAnsi="宋体" w:cs="宋体"/>
          <w:b/>
          <w:kern w:val="0"/>
          <w:sz w:val="22"/>
          <w:szCs w:val="22"/>
        </w:rPr>
        <w:t>、验 收</w:t>
      </w:r>
    </w:p>
    <w:p w14:paraId="06E0A5D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1.乙方应对数据报告作出全面自查和整理，并列出清单，作为甲方验收和使用的服务条件依据，清单应随提供的服务成果交给甲方。</w:t>
      </w:r>
    </w:p>
    <w:p w14:paraId="475B444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 xml:space="preserve">2.验收时，甲乙双方必须同时在场，乙方所提供的服务不符合合同内容规定的，甲方有权拒绝验收。乙方应及时按本合同内容规定和甲方要求免费进行整改，直至验收合格，方视为乙方按本合同规定完成服务。验收合格的，由双方共同签署《验收报告》。在经过两次限期整改后，服务仍达不到合同文件规定内容的，甲方有权拒收，并可以解除合同；由此引起甲方损失及赔偿责任由乙方承担。 </w:t>
      </w:r>
    </w:p>
    <w:p w14:paraId="41F5FFA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3.甲方可以视项目规模或复杂情况聘请专业人员参与验收，大型或复杂项目，以及涉及专业服务内容的应当邀请国家认可的第三方质量检测机构参与验收。</w:t>
      </w:r>
    </w:p>
    <w:p w14:paraId="17EAEF8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4.如根据项目实施情况需要分阶段验收，则双方分阶段签署《验收报告》。</w:t>
      </w:r>
    </w:p>
    <w:p w14:paraId="1C8CBC3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5.如果合同双方对《验收报告》有分歧，双方须于出现分歧后7天内给对方书面声明，以陈述己方的理由及要求，并附有关证据。分歧应通过协商解决。</w:t>
      </w:r>
    </w:p>
    <w:p w14:paraId="1C3344AA">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lang w:val="en-US" w:eastAsia="zh-CN"/>
        </w:rPr>
        <w:t>八</w:t>
      </w:r>
      <w:r>
        <w:rPr>
          <w:rFonts w:hint="eastAsia" w:ascii="宋体" w:hAnsi="宋体" w:cs="宋体"/>
          <w:b/>
          <w:bCs/>
          <w:kern w:val="0"/>
          <w:sz w:val="22"/>
          <w:szCs w:val="22"/>
        </w:rPr>
        <w:t>、转让或分包</w:t>
      </w:r>
    </w:p>
    <w:p w14:paraId="2805FD6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1.本合同范围的项目服务内容，应由乙方直接服务，不得整体转让他人。</w:t>
      </w:r>
    </w:p>
    <w:p w14:paraId="2D2F8BB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2.如有整体转让和未经采购人同意的分包行为，采购人有权解除合同，并要求中标人根据采购人的直接损失，部分或全部退还采购人已支付的报酬。</w:t>
      </w:r>
    </w:p>
    <w:p w14:paraId="79E23CDE">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kern w:val="0"/>
          <w:sz w:val="22"/>
          <w:szCs w:val="22"/>
        </w:rPr>
      </w:pPr>
      <w:r>
        <w:rPr>
          <w:rFonts w:hint="eastAsia" w:ascii="宋体" w:hAnsi="宋体" w:cs="宋体"/>
          <w:b/>
          <w:kern w:val="0"/>
          <w:sz w:val="22"/>
          <w:szCs w:val="22"/>
          <w:lang w:val="en-US" w:eastAsia="zh-CN"/>
        </w:rPr>
        <w:t>九</w:t>
      </w:r>
      <w:r>
        <w:rPr>
          <w:rFonts w:hint="eastAsia" w:ascii="宋体" w:hAnsi="宋体" w:cs="宋体"/>
          <w:b/>
          <w:kern w:val="0"/>
          <w:sz w:val="22"/>
          <w:szCs w:val="22"/>
        </w:rPr>
        <w:t>、甲方的权利及义务</w:t>
      </w:r>
    </w:p>
    <w:p w14:paraId="5E16CD7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1.</w:t>
      </w:r>
      <w:r>
        <w:rPr>
          <w:rFonts w:hint="eastAsia" w:ascii="宋体" w:hAnsi="宋体" w:cs="宋体"/>
          <w:b w:val="0"/>
          <w:bCs/>
          <w:kern w:val="0"/>
          <w:sz w:val="22"/>
          <w:szCs w:val="22"/>
        </w:rPr>
        <w:t>甲方有权要求乙方服务的项目内容符合行业、省级相关单位、国家相 关部委的标准。</w:t>
      </w:r>
    </w:p>
    <w:p w14:paraId="67EEC5D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2.</w:t>
      </w:r>
      <w:r>
        <w:rPr>
          <w:rFonts w:hint="eastAsia" w:ascii="宋体" w:hAnsi="宋体" w:cs="宋体"/>
          <w:b w:val="0"/>
          <w:bCs/>
          <w:kern w:val="0"/>
          <w:sz w:val="22"/>
          <w:szCs w:val="22"/>
        </w:rPr>
        <w:t>甲方有权要求乙方配合甲方完成所采购服务的验收等工作。</w:t>
      </w:r>
    </w:p>
    <w:p w14:paraId="2D5DD771">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3.</w:t>
      </w:r>
      <w:r>
        <w:rPr>
          <w:rFonts w:hint="eastAsia" w:ascii="宋体" w:hAnsi="宋体" w:cs="宋体"/>
          <w:b w:val="0"/>
          <w:bCs/>
          <w:kern w:val="0"/>
          <w:sz w:val="22"/>
          <w:szCs w:val="22"/>
        </w:rPr>
        <w:t>甲方有权监督乙方运维服务的情况，并有权要求乙方对其提供的服务 或其委托的第三方服务承担全部责任。如发生乙方服务不符合本合同约定的，甲 方有权以书面形式通报乙方履约情况，并有权扣减乙方的合同价款。</w:t>
      </w:r>
    </w:p>
    <w:p w14:paraId="5D78B43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4.</w:t>
      </w:r>
      <w:r>
        <w:rPr>
          <w:rFonts w:hint="eastAsia" w:ascii="宋体" w:hAnsi="宋体" w:cs="宋体"/>
          <w:b w:val="0"/>
          <w:bCs/>
          <w:kern w:val="0"/>
          <w:sz w:val="22"/>
          <w:szCs w:val="22"/>
        </w:rPr>
        <w:t>甲方有义务保证按合同所规定的内容及时间支付乙方相关费用。</w:t>
      </w:r>
    </w:p>
    <w:p w14:paraId="35A164C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5.</w:t>
      </w:r>
      <w:r>
        <w:rPr>
          <w:rFonts w:hint="eastAsia" w:ascii="宋体" w:hAnsi="宋体" w:cs="宋体"/>
          <w:b w:val="0"/>
          <w:bCs/>
          <w:kern w:val="0"/>
          <w:sz w:val="22"/>
          <w:szCs w:val="22"/>
        </w:rPr>
        <w:t>甲方有权按本合同服务周期要求乙方完成所有相关切服务。</w:t>
      </w:r>
    </w:p>
    <w:p w14:paraId="39E30CEF">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kern w:val="0"/>
          <w:sz w:val="22"/>
          <w:szCs w:val="22"/>
        </w:rPr>
      </w:pPr>
      <w:r>
        <w:rPr>
          <w:rFonts w:hint="eastAsia" w:ascii="宋体" w:hAnsi="宋体" w:cs="宋体"/>
          <w:b/>
          <w:kern w:val="0"/>
          <w:sz w:val="22"/>
          <w:szCs w:val="22"/>
          <w:lang w:val="en-US" w:eastAsia="zh-CN"/>
        </w:rPr>
        <w:t>十</w:t>
      </w:r>
      <w:r>
        <w:rPr>
          <w:rFonts w:hint="eastAsia" w:ascii="宋体" w:hAnsi="宋体" w:cs="宋体"/>
          <w:b/>
          <w:kern w:val="0"/>
          <w:sz w:val="22"/>
          <w:szCs w:val="22"/>
        </w:rPr>
        <w:t>、乙方的权利及义务</w:t>
      </w:r>
    </w:p>
    <w:p w14:paraId="200EF96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bookmarkStart w:id="3" w:name="_Toc143630947"/>
      <w:r>
        <w:rPr>
          <w:rFonts w:hint="eastAsia" w:ascii="宋体" w:hAnsi="宋体" w:cs="宋体"/>
          <w:b w:val="0"/>
          <w:bCs/>
          <w:kern w:val="0"/>
          <w:sz w:val="22"/>
          <w:szCs w:val="22"/>
          <w:lang w:val="en-US" w:eastAsia="zh-CN"/>
        </w:rPr>
        <w:t>1.</w:t>
      </w:r>
      <w:r>
        <w:rPr>
          <w:rFonts w:hint="eastAsia" w:ascii="宋体" w:hAnsi="宋体" w:cs="宋体"/>
          <w:b w:val="0"/>
          <w:bCs/>
          <w:kern w:val="0"/>
          <w:sz w:val="22"/>
          <w:szCs w:val="22"/>
        </w:rPr>
        <w:t>乙方应按本合同的规定完成运维服务，及时对设备故障进行响应，并 负担更换故障设备及配套设施的维修工作，并保证顺利进行。</w:t>
      </w:r>
    </w:p>
    <w:p w14:paraId="1A8FCA1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2.</w:t>
      </w:r>
      <w:r>
        <w:rPr>
          <w:rFonts w:hint="eastAsia" w:ascii="宋体" w:hAnsi="宋体" w:cs="宋体"/>
          <w:b w:val="0"/>
          <w:bCs/>
          <w:kern w:val="0"/>
          <w:sz w:val="22"/>
          <w:szCs w:val="22"/>
        </w:rPr>
        <w:t>乙方有权要求甲方提供必要的文件材料支持。</w:t>
      </w:r>
    </w:p>
    <w:p w14:paraId="3A6C6CC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3.</w:t>
      </w:r>
      <w:r>
        <w:rPr>
          <w:rFonts w:hint="eastAsia" w:ascii="宋体" w:hAnsi="宋体" w:cs="宋体"/>
          <w:b w:val="0"/>
          <w:bCs/>
          <w:kern w:val="0"/>
          <w:sz w:val="22"/>
          <w:szCs w:val="22"/>
        </w:rPr>
        <w:t>乙方有义务确保所服务项目内容符合本项目质量标准。</w:t>
      </w:r>
    </w:p>
    <w:p w14:paraId="38A7E1E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4.</w:t>
      </w:r>
      <w:r>
        <w:rPr>
          <w:rFonts w:hint="eastAsia" w:ascii="宋体" w:hAnsi="宋体" w:cs="宋体"/>
          <w:b w:val="0"/>
          <w:bCs/>
          <w:kern w:val="0"/>
          <w:sz w:val="22"/>
          <w:szCs w:val="22"/>
        </w:rPr>
        <w:t>在验收时，向甲方提供相关技术文件。</w:t>
      </w:r>
    </w:p>
    <w:p w14:paraId="6893763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5.</w:t>
      </w:r>
      <w:r>
        <w:rPr>
          <w:rFonts w:hint="eastAsia" w:ascii="宋体" w:hAnsi="宋体" w:cs="宋体"/>
          <w:b w:val="0"/>
          <w:bCs/>
          <w:kern w:val="0"/>
          <w:sz w:val="22"/>
          <w:szCs w:val="22"/>
        </w:rPr>
        <w:t>培训甲方或甲方指定的管理人员。</w:t>
      </w:r>
    </w:p>
    <w:bookmarkEnd w:id="3"/>
    <w:p w14:paraId="19274C55">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kern w:val="0"/>
          <w:sz w:val="22"/>
          <w:szCs w:val="22"/>
        </w:rPr>
      </w:pPr>
      <w:r>
        <w:rPr>
          <w:rFonts w:hint="eastAsia" w:ascii="宋体" w:hAnsi="宋体" w:cs="宋体"/>
          <w:b/>
          <w:kern w:val="0"/>
          <w:sz w:val="22"/>
          <w:szCs w:val="22"/>
        </w:rPr>
        <w:t>十一、服务质量保证</w:t>
      </w:r>
    </w:p>
    <w:p w14:paraId="1F30325F">
      <w:pPr>
        <w:spacing w:line="360" w:lineRule="auto"/>
        <w:ind w:firstLine="440" w:firstLineChars="200"/>
        <w:outlineLvl w:val="1"/>
        <w:rPr>
          <w:rFonts w:hint="eastAsia" w:ascii="宋体" w:hAnsi="宋体" w:cs="宋体"/>
          <w:b w:val="0"/>
          <w:bCs/>
          <w:sz w:val="22"/>
          <w:szCs w:val="22"/>
        </w:rPr>
      </w:pPr>
      <w:r>
        <w:rPr>
          <w:rFonts w:hint="eastAsia" w:ascii="宋体" w:hAnsi="宋体" w:cs="宋体"/>
          <w:b w:val="0"/>
          <w:bCs/>
          <w:sz w:val="22"/>
          <w:szCs w:val="22"/>
        </w:rPr>
        <w:t>符合陕西省人民政府办公厅《关于印发&lt;陕西省生态环境监测网络建设工作方案&gt;的通知》（陕政办发〔2016〕29号）、陕西省委办公厅、陕西省人民政府办公厅《关于深化环境监测改革提高环境监测数据质量的实施意见》（陕办发〔2018〕29号）、《关于印发陕西省生态环境监测站点管理办法的通知》（陕环发〔2022〕10号）、《关于印发陕西省省控环境空气质量自动监测站运行维护业务规范及技术要求（试行）的通知》、（陕环监测函〔2021〕18号）、《渭南市市控空气站自动监测系统运维及考核实施细则（试行）》（渭环监测函〔2024〕63号）及相关标准规范。</w:t>
      </w:r>
    </w:p>
    <w:p w14:paraId="46DC2068">
      <w:pPr>
        <w:numPr>
          <w:ilvl w:val="0"/>
          <w:numId w:val="0"/>
        </w:numPr>
        <w:spacing w:line="360" w:lineRule="auto"/>
        <w:ind w:firstLine="442" w:firstLineChars="200"/>
        <w:outlineLvl w:val="1"/>
        <w:rPr>
          <w:rFonts w:ascii="宋体" w:hAnsi="宋体" w:eastAsia="宋体" w:cs="宋体"/>
          <w:sz w:val="21"/>
          <w:szCs w:val="21"/>
        </w:rPr>
      </w:pPr>
      <w:r>
        <w:rPr>
          <w:rFonts w:hint="eastAsia" w:ascii="宋体" w:hAnsi="宋体" w:cs="宋体"/>
          <w:b/>
          <w:sz w:val="22"/>
          <w:szCs w:val="22"/>
          <w:lang w:val="en-US" w:eastAsia="zh-CN"/>
        </w:rPr>
        <w:t>十二、</w:t>
      </w:r>
      <w:r>
        <w:rPr>
          <w:rFonts w:hint="eastAsia" w:ascii="宋体" w:hAnsi="宋体" w:cs="宋体"/>
          <w:b/>
          <w:sz w:val="22"/>
          <w:szCs w:val="22"/>
        </w:rPr>
        <w:t>违约责任</w:t>
      </w:r>
    </w:p>
    <w:p w14:paraId="25CA2DC5">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1</w:t>
      </w:r>
      <w:r>
        <w:rPr>
          <w:rFonts w:hint="eastAsia" w:ascii="宋体" w:hAnsi="宋体" w:eastAsia="宋体" w:cs="宋体"/>
          <w:b w:val="0"/>
          <w:bCs/>
          <w:sz w:val="22"/>
          <w:szCs w:val="22"/>
          <w:lang w:val="en-US" w:eastAsia="zh-CN"/>
        </w:rPr>
        <w:t>.</w:t>
      </w:r>
      <w:r>
        <w:rPr>
          <w:rFonts w:hint="eastAsia" w:ascii="宋体" w:hAnsi="宋体" w:eastAsia="宋体" w:cs="宋体"/>
          <w:b w:val="0"/>
          <w:bCs/>
          <w:sz w:val="22"/>
          <w:szCs w:val="22"/>
        </w:rPr>
        <w:t>本项目由甲方统一组织采购。如因任何一方过错造成合同不能履行、不 能完全履行或不适当履行，由有过错的方负责并承担由此造成的一切损失和费用 以及另一方采取合理补救措施的一切费用。</w:t>
      </w:r>
    </w:p>
    <w:p w14:paraId="0E64F811">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2</w:t>
      </w:r>
      <w:r>
        <w:rPr>
          <w:rFonts w:hint="eastAsia" w:ascii="宋体" w:hAnsi="宋体" w:eastAsia="宋体" w:cs="宋体"/>
          <w:b w:val="0"/>
          <w:bCs/>
          <w:sz w:val="22"/>
          <w:szCs w:val="22"/>
          <w:lang w:val="en-US" w:eastAsia="zh-CN"/>
        </w:rPr>
        <w:t>.</w:t>
      </w:r>
      <w:r>
        <w:rPr>
          <w:rFonts w:hint="eastAsia" w:ascii="宋体" w:hAnsi="宋体" w:eastAsia="宋体" w:cs="宋体"/>
          <w:b w:val="0"/>
          <w:bCs/>
          <w:sz w:val="22"/>
          <w:szCs w:val="22"/>
        </w:rPr>
        <w:t>如由于双方的过错造成合同不能履行、不能完全履行或不适当履行，应 根据实际情况由双方分别承担各自应负的违约责任。</w:t>
      </w:r>
    </w:p>
    <w:p w14:paraId="1AC010A5">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3</w:t>
      </w:r>
      <w:r>
        <w:rPr>
          <w:rFonts w:hint="eastAsia" w:ascii="宋体" w:hAnsi="宋体" w:eastAsia="宋体" w:cs="宋体"/>
          <w:b w:val="0"/>
          <w:bCs/>
          <w:sz w:val="22"/>
          <w:szCs w:val="22"/>
          <w:lang w:val="en-US" w:eastAsia="zh-CN"/>
        </w:rPr>
        <w:t>.</w:t>
      </w:r>
      <w:r>
        <w:rPr>
          <w:rFonts w:hint="eastAsia" w:ascii="宋体" w:hAnsi="宋体" w:eastAsia="宋体" w:cs="宋体"/>
          <w:b w:val="0"/>
          <w:bCs/>
          <w:sz w:val="22"/>
          <w:szCs w:val="22"/>
        </w:rPr>
        <w:t>违约金与赔偿金额计算</w:t>
      </w:r>
    </w:p>
    <w:p w14:paraId="59691F5E">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(1)本合同项下涉及的所有的违约金和赔偿金额均依据合同的规定计算。如合同未有明确规定的，则根据国家或地方的有关规定、惯例、行业规定等合理 地估算。</w:t>
      </w:r>
    </w:p>
    <w:p w14:paraId="14084321">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(2)未经甲方书面同意，乙方擅自转让本合同项下的任何权利义务或者违  反合同关于保密条款约定的，乙方应退还甲方已支付的合同价款，还应向甲方支 付合同金额百分之二十(20%)作为违约金，给甲方造成损失的，另行承担赔偿 责任。同时，甲方有权解除合同。</w:t>
      </w:r>
    </w:p>
    <w:p w14:paraId="2EE66D84">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(3)若乙方的设备和运维服务未达到中国法律法规、标准规范的强制要求时，甲方有权解除合同。甲方据此解除合同的，乙方应当退还甲方已经支付的全 部费用，并向甲方支付合同总金额百分之二十(20%)的违约金，违约金不足以 弥补甲方损失的，乙方还应当承担损失赔偿责任。对于乙方承担的违约责任甲方 有权从尚未支付的合同价款中进行抵扣。如果未付金额不足以抵扣，甲方仍有权 向乙方提出补偿不足部分的要求。</w:t>
      </w:r>
    </w:p>
    <w:p w14:paraId="31B3EA33">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drawing>
          <wp:anchor distT="0" distB="0" distL="0" distR="0" simplePos="0" relativeHeight="251660288" behindDoc="0" locked="0" layoutInCell="1" allowOverlap="1">
            <wp:simplePos x="0" y="0"/>
            <wp:positionH relativeFrom="column">
              <wp:posOffset>0</wp:posOffset>
            </wp:positionH>
            <wp:positionV relativeFrom="paragraph">
              <wp:posOffset>1886585</wp:posOffset>
            </wp:positionV>
            <wp:extent cx="257175" cy="1321435"/>
            <wp:effectExtent l="0" t="0" r="9525" b="12065"/>
            <wp:wrapNone/>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5"/>
                    <a:stretch>
                      <a:fillRect/>
                    </a:stretch>
                  </pic:blipFill>
                  <pic:spPr>
                    <a:xfrm>
                      <a:off x="0" y="0"/>
                      <a:ext cx="257174" cy="1321169"/>
                    </a:xfrm>
                    <a:prstGeom prst="rect">
                      <a:avLst/>
                    </a:prstGeom>
                  </pic:spPr>
                </pic:pic>
              </a:graphicData>
            </a:graphic>
          </wp:anchor>
        </w:drawing>
      </w:r>
      <w:r>
        <w:rPr>
          <w:rFonts w:hint="eastAsia" w:ascii="宋体" w:hAnsi="宋体" w:eastAsia="宋体" w:cs="宋体"/>
          <w:b w:val="0"/>
          <w:bCs/>
          <w:sz w:val="22"/>
          <w:szCs w:val="22"/>
        </w:rPr>
        <w:t>(4)乙方如未按期完成站点服务，每逾期一日按合同总金额的千分之五支 付违约金，逾期超过二十天，甲方有权解除合同；乙方提供的运维服务不符合合 同约定或者技术规范要求的，必须及时改正，同时应当按照不符合合同约定或者 技术规范要求的违约天数按合同总金额的千分之五按日支付违约金，如果超过十 天，甲方有权解除合同。对于乙方承担的违约责任甲方有权从尚未支付的合同价 款中进行抵扣。如果未付金额不足以抵扣，甲方仍有权向乙方提出补偿不足部分 的要求。</w:t>
      </w:r>
    </w:p>
    <w:p w14:paraId="7094466A">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(5)甲方未按照约定期限付款，每逾期一日按照合同支付金额的千分之五 支付违约金，逾期超过三十天，乙方有权向甲方提出赔偿损失。</w:t>
      </w:r>
    </w:p>
    <w:p w14:paraId="3204CD93">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4、违约金与赔偿的支付</w:t>
      </w:r>
    </w:p>
    <w:p w14:paraId="5FC75C65">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(1)乙方未按照合同约定充分、全面地履行合同义务(包括但不限于服务 时间、服务内容、服务品质等方面),给甲方造成损失的，除承担违约责任外， 还应赔偿甲方的实际经济损失(包括但不限于直接经济损失、支付的赔偿款、法 律费用等)。</w:t>
      </w:r>
    </w:p>
    <w:p w14:paraId="34A8C03D">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(2)对于合同中所列的违约金和赔偿，甲方有权从履约保函中获得违约金 和赔偿或从待付的后续合同款项中扣除。</w:t>
      </w:r>
    </w:p>
    <w:p w14:paraId="3B89A6AE">
      <w:pPr>
        <w:rPr>
          <w:rFonts w:hint="eastAsia" w:ascii="宋体" w:hAnsi="宋体" w:eastAsia="宋体" w:cs="宋体"/>
          <w:b w:val="0"/>
          <w:bCs/>
          <w:sz w:val="22"/>
          <w:szCs w:val="22"/>
        </w:rPr>
      </w:pPr>
      <w:r>
        <w:rPr>
          <w:rFonts w:hint="eastAsia" w:ascii="宋体" w:hAnsi="宋体" w:eastAsia="宋体" w:cs="宋体"/>
          <w:b w:val="0"/>
          <w:bCs/>
          <w:sz w:val="22"/>
          <w:szCs w:val="22"/>
        </w:rPr>
        <w:t>(3)如果乙方破产或丧失清偿能力时，甲方可在任何时候以书面通知乙方  解除合同。该解除合同将不损害或影响甲方已采取或将要采取的补救措施的权力。</w:t>
      </w:r>
    </w:p>
    <w:p w14:paraId="559433E7">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十三、不可抗力事件处理</w:t>
      </w:r>
    </w:p>
    <w:p w14:paraId="0949E17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由于不可抗力的原因不能履行合同时，应及时向对方通报不能履行或不能完 全履行的理由，在取得有关权威部门的证明以后，允许延期履行、部分履行或者 不履行合同，并根据情况可部分</w:t>
      </w:r>
      <w:r>
        <w:rPr>
          <w:rFonts w:hint="eastAsia" w:ascii="宋体" w:hAnsi="宋体" w:cs="宋体"/>
          <w:kern w:val="0"/>
          <w:sz w:val="22"/>
          <w:szCs w:val="22"/>
          <w:lang w:val="en-US" w:eastAsia="zh-CN"/>
        </w:rPr>
        <w:t xml:space="preserve"> </w:t>
      </w:r>
      <w:r>
        <w:rPr>
          <w:rFonts w:hint="eastAsia" w:ascii="宋体" w:hAnsi="宋体" w:cs="宋体"/>
          <w:kern w:val="0"/>
          <w:sz w:val="22"/>
          <w:szCs w:val="22"/>
        </w:rPr>
        <w:t>或全部免予承担违约责任。</w:t>
      </w:r>
    </w:p>
    <w:p w14:paraId="1A4F9502">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2" w:firstLineChars="200"/>
        <w:jc w:val="left"/>
        <w:textAlignment w:val="auto"/>
        <w:rPr>
          <w:rFonts w:hint="eastAsia" w:ascii="宋体" w:hAnsi="宋体" w:cs="宋体"/>
          <w:b/>
          <w:bCs/>
          <w:kern w:val="0"/>
          <w:sz w:val="22"/>
          <w:szCs w:val="22"/>
        </w:rPr>
      </w:pPr>
      <w:r>
        <w:rPr>
          <w:rFonts w:hint="eastAsia" w:ascii="宋体" w:hAnsi="宋体" w:cs="宋体"/>
          <w:b/>
          <w:bCs/>
          <w:kern w:val="0"/>
          <w:sz w:val="22"/>
          <w:szCs w:val="22"/>
        </w:rPr>
        <w:t>十四、争议解决与适用法律</w:t>
      </w:r>
    </w:p>
    <w:p w14:paraId="3E3CD014">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kern w:val="0"/>
          <w:sz w:val="22"/>
          <w:szCs w:val="22"/>
        </w:rPr>
      </w:pPr>
      <w:r>
        <w:rPr>
          <w:rFonts w:hint="eastAsia" w:ascii="宋体" w:hAnsi="宋体" w:eastAsia="宋体" w:cs="宋体"/>
          <w:kern w:val="0"/>
          <w:sz w:val="22"/>
          <w:szCs w:val="22"/>
        </w:rPr>
        <w:t>1</w:t>
      </w:r>
      <w:r>
        <w:rPr>
          <w:rFonts w:hint="eastAsia" w:ascii="宋体" w:hAnsi="宋体" w:eastAsia="宋体" w:cs="宋体"/>
          <w:kern w:val="0"/>
          <w:sz w:val="22"/>
          <w:szCs w:val="22"/>
          <w:lang w:val="en-US" w:eastAsia="zh-CN"/>
        </w:rPr>
        <w:t>.</w:t>
      </w:r>
      <w:r>
        <w:rPr>
          <w:rFonts w:hint="eastAsia" w:ascii="宋体" w:hAnsi="宋体" w:eastAsia="宋体" w:cs="宋体"/>
          <w:kern w:val="0"/>
          <w:sz w:val="22"/>
          <w:szCs w:val="22"/>
        </w:rPr>
        <w:t>合同实施或与合同有关的争端应通过双方协商解决。如果协商开始后30 天还不能解决任何一方均可向甲方所在地有管辖权的人民法院提起诉讼。并且， 违约方应承担守约方主张权利所产生的所有费用，包括律师费、诉讼费或者仲裁 费、交通费、住宿费等所有直接损失。</w:t>
      </w:r>
    </w:p>
    <w:p w14:paraId="3CCA5611">
      <w:pPr>
        <w:widowControl/>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2</w:t>
      </w:r>
      <w:r>
        <w:rPr>
          <w:rFonts w:hint="eastAsia" w:ascii="宋体" w:hAnsi="宋体" w:eastAsia="宋体" w:cs="宋体"/>
          <w:kern w:val="0"/>
          <w:sz w:val="22"/>
          <w:szCs w:val="22"/>
          <w:lang w:val="en-US" w:eastAsia="zh-CN"/>
        </w:rPr>
        <w:t>.</w:t>
      </w:r>
      <w:r>
        <w:rPr>
          <w:rFonts w:hint="eastAsia" w:ascii="宋体" w:hAnsi="宋体" w:eastAsia="宋体" w:cs="宋体"/>
          <w:kern w:val="0"/>
          <w:sz w:val="22"/>
          <w:szCs w:val="22"/>
        </w:rPr>
        <w:t>在争议存续期间，本合同应继续执行。</w:t>
      </w:r>
    </w:p>
    <w:p w14:paraId="7C17D273">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十五、合同生效及其它</w:t>
      </w:r>
    </w:p>
    <w:p w14:paraId="32CFED8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1.本合同经采购人、</w:t>
      </w:r>
      <w:r>
        <w:rPr>
          <w:rFonts w:hint="eastAsia" w:ascii="宋体" w:hAnsi="宋体" w:cs="宋体"/>
          <w:sz w:val="22"/>
          <w:szCs w:val="22"/>
        </w:rPr>
        <w:t>中标人</w:t>
      </w:r>
      <w:r>
        <w:rPr>
          <w:rFonts w:hint="eastAsia" w:ascii="宋体" w:hAnsi="宋体" w:cs="宋体"/>
          <w:kern w:val="0"/>
          <w:sz w:val="22"/>
          <w:szCs w:val="22"/>
        </w:rPr>
        <w:t>法定代表人或其委托人签字并加盖公章后生效。</w:t>
      </w:r>
    </w:p>
    <w:p w14:paraId="00C8AAC0">
      <w:pPr>
        <w:widowControl/>
        <w:tabs>
          <w:tab w:val="left" w:pos="0"/>
          <w:tab w:val="left" w:pos="437"/>
          <w:tab w:val="left" w:pos="1311"/>
        </w:tabs>
        <w:adjustRightInd w:val="0"/>
        <w:snapToGrid w:val="0"/>
        <w:spacing w:line="360" w:lineRule="auto"/>
        <w:ind w:firstLine="408" w:firstLineChars="200"/>
        <w:jc w:val="left"/>
        <w:rPr>
          <w:rFonts w:hint="eastAsia" w:ascii="宋体" w:hAnsi="宋体" w:cs="宋体"/>
          <w:spacing w:val="-8"/>
          <w:kern w:val="0"/>
          <w:sz w:val="22"/>
          <w:szCs w:val="22"/>
        </w:rPr>
      </w:pPr>
      <w:r>
        <w:rPr>
          <w:rFonts w:hint="eastAsia" w:ascii="宋体" w:hAnsi="宋体" w:cs="宋体"/>
          <w:spacing w:val="-8"/>
          <w:kern w:val="0"/>
          <w:sz w:val="22"/>
          <w:szCs w:val="22"/>
        </w:rPr>
        <w:t>2.本合同一式</w:t>
      </w:r>
      <w:r>
        <w:rPr>
          <w:rFonts w:hint="eastAsia" w:ascii="宋体" w:hAnsi="宋体" w:cs="宋体"/>
          <w:spacing w:val="-8"/>
          <w:kern w:val="0"/>
          <w:sz w:val="22"/>
          <w:szCs w:val="22"/>
          <w:u w:val="single"/>
        </w:rPr>
        <w:t>陆</w:t>
      </w:r>
      <w:r>
        <w:rPr>
          <w:rFonts w:hint="eastAsia" w:ascii="宋体" w:hAnsi="宋体" w:cs="宋体"/>
          <w:spacing w:val="-8"/>
          <w:kern w:val="0"/>
          <w:sz w:val="22"/>
          <w:szCs w:val="22"/>
        </w:rPr>
        <w:t>份，采购人执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份、中标人执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份，其余相关部门各</w:t>
      </w:r>
      <w:r>
        <w:rPr>
          <w:rFonts w:hint="eastAsia" w:ascii="宋体" w:hAnsi="宋体" w:cs="宋体"/>
          <w:spacing w:val="-8"/>
          <w:kern w:val="0"/>
          <w:sz w:val="22"/>
          <w:szCs w:val="22"/>
          <w:u w:val="single"/>
        </w:rPr>
        <w:t>壹</w:t>
      </w:r>
      <w:r>
        <w:rPr>
          <w:rFonts w:hint="eastAsia" w:ascii="宋体" w:hAnsi="宋体" w:cs="宋体"/>
          <w:spacing w:val="-8"/>
          <w:kern w:val="0"/>
          <w:sz w:val="22"/>
          <w:szCs w:val="22"/>
        </w:rPr>
        <w:t>份。</w:t>
      </w:r>
    </w:p>
    <w:p w14:paraId="48998D5A">
      <w:pPr>
        <w:pStyle w:val="2"/>
        <w:rPr>
          <w:rFonts w:hint="eastAsia" w:ascii="宋体" w:hAnsi="宋体" w:cs="宋体"/>
          <w:spacing w:val="-8"/>
          <w:kern w:val="0"/>
          <w:sz w:val="22"/>
          <w:szCs w:val="22"/>
        </w:rPr>
      </w:pPr>
    </w:p>
    <w:p w14:paraId="14C79384">
      <w:pPr>
        <w:rPr>
          <w:rFonts w:hint="eastAsia" w:ascii="宋体" w:hAnsi="宋体" w:cs="宋体"/>
          <w:spacing w:val="-8"/>
          <w:kern w:val="0"/>
          <w:sz w:val="22"/>
          <w:szCs w:val="22"/>
        </w:rPr>
      </w:pPr>
    </w:p>
    <w:p w14:paraId="0337454D">
      <w:pPr>
        <w:pStyle w:val="4"/>
        <w:spacing w:line="360" w:lineRule="auto"/>
        <w:rPr>
          <w:rFonts w:hint="eastAsia" w:ascii="宋体" w:hAnsi="宋体" w:cs="宋体"/>
          <w:color w:val="auto"/>
          <w:kern w:val="0"/>
          <w:sz w:val="22"/>
          <w:szCs w:val="22"/>
        </w:rPr>
      </w:pPr>
    </w:p>
    <w:p w14:paraId="45020298">
      <w:pPr>
        <w:pStyle w:val="4"/>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采购人（章）：                               中标人（章）：         </w:t>
      </w:r>
    </w:p>
    <w:p w14:paraId="45097661">
      <w:pPr>
        <w:pStyle w:val="4"/>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法定代表人                                   法定代表人</w:t>
      </w:r>
    </w:p>
    <w:p w14:paraId="0E583F1F">
      <w:pPr>
        <w:pStyle w:val="4"/>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或委托代理人（签字或盖章）：                 或委托代理人（签字或盖章）：  </w:t>
      </w:r>
    </w:p>
    <w:p w14:paraId="75A4B8A8">
      <w:pPr>
        <w:pStyle w:val="4"/>
        <w:spacing w:line="360" w:lineRule="auto"/>
        <w:rPr>
          <w:rFonts w:hint="eastAsia" w:ascii="宋体" w:hAnsi="宋体" w:cs="宋体"/>
          <w:sz w:val="22"/>
          <w:szCs w:val="22"/>
        </w:rPr>
      </w:pPr>
    </w:p>
    <w:p w14:paraId="3552D0ED">
      <w:pPr>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年   月   日                                年   月   日</w:t>
      </w:r>
    </w:p>
    <w:p w14:paraId="69F44CD9">
      <w:pPr>
        <w:pStyle w:val="2"/>
        <w:rPr>
          <w:rFonts w:hint="eastAsia" w:ascii="宋体" w:hAnsi="宋体" w:cs="宋体"/>
          <w:color w:val="auto"/>
          <w:kern w:val="0"/>
          <w:sz w:val="22"/>
          <w:szCs w:val="22"/>
        </w:rPr>
      </w:pPr>
    </w:p>
    <w:p w14:paraId="790209B1">
      <w:pPr>
        <w:rPr>
          <w:rFonts w:hint="eastAsia" w:ascii="宋体" w:hAnsi="宋体" w:cs="宋体"/>
          <w:color w:val="auto"/>
          <w:kern w:val="0"/>
          <w:sz w:val="22"/>
          <w:szCs w:val="22"/>
        </w:rPr>
      </w:pPr>
    </w:p>
    <w:p w14:paraId="3603F1DC">
      <w:pPr>
        <w:pStyle w:val="2"/>
        <w:rPr>
          <w:rFonts w:hint="eastAsia" w:ascii="宋体" w:hAnsi="宋体" w:cs="宋体"/>
          <w:color w:val="auto"/>
          <w:kern w:val="0"/>
          <w:sz w:val="22"/>
          <w:szCs w:val="22"/>
        </w:rPr>
      </w:pPr>
    </w:p>
    <w:p w14:paraId="677D1B2A">
      <w:pPr>
        <w:rPr>
          <w:rFonts w:hint="eastAsia" w:ascii="宋体" w:hAnsi="宋体" w:cs="宋体"/>
          <w:color w:val="auto"/>
          <w:kern w:val="0"/>
          <w:sz w:val="22"/>
          <w:szCs w:val="22"/>
        </w:rPr>
      </w:pPr>
    </w:p>
    <w:p w14:paraId="5A23F21F">
      <w:pPr>
        <w:pStyle w:val="2"/>
        <w:rPr>
          <w:rFonts w:hint="eastAsia" w:ascii="宋体" w:hAnsi="宋体" w:cs="宋体"/>
          <w:color w:val="auto"/>
          <w:kern w:val="0"/>
          <w:sz w:val="22"/>
          <w:szCs w:val="22"/>
        </w:rPr>
      </w:pPr>
    </w:p>
    <w:p w14:paraId="4687800E">
      <w:pPr>
        <w:rPr>
          <w:rFonts w:hint="eastAsia" w:ascii="宋体" w:hAnsi="宋体" w:cs="宋体"/>
          <w:color w:val="auto"/>
          <w:kern w:val="0"/>
          <w:sz w:val="22"/>
          <w:szCs w:val="22"/>
        </w:rPr>
      </w:pPr>
    </w:p>
    <w:p w14:paraId="1E20BFC5">
      <w:pPr>
        <w:pStyle w:val="2"/>
        <w:rPr>
          <w:rFonts w:hint="eastAsia" w:ascii="宋体" w:hAnsi="宋体" w:cs="宋体"/>
          <w:color w:val="auto"/>
          <w:kern w:val="0"/>
          <w:sz w:val="22"/>
          <w:szCs w:val="22"/>
        </w:rPr>
      </w:pPr>
    </w:p>
    <w:p w14:paraId="3247B071">
      <w:pPr>
        <w:rPr>
          <w:rFonts w:hint="eastAsia" w:ascii="宋体" w:hAnsi="宋体" w:cs="宋体"/>
          <w:color w:val="auto"/>
          <w:kern w:val="0"/>
          <w:sz w:val="22"/>
          <w:szCs w:val="22"/>
        </w:rPr>
      </w:pPr>
    </w:p>
    <w:p w14:paraId="6BFE49ED">
      <w:pPr>
        <w:pStyle w:val="2"/>
        <w:rPr>
          <w:rFonts w:hint="eastAsia"/>
          <w:lang w:val="en-US" w:eastAsia="zh-CN"/>
        </w:rPr>
      </w:pPr>
      <w:r>
        <w:rPr>
          <w:rFonts w:hint="eastAsia"/>
          <w:lang w:val="en-US" w:eastAsia="zh-CN"/>
        </w:rPr>
        <w:t>附件1</w:t>
      </w:r>
    </w:p>
    <w:p w14:paraId="42C2518F">
      <w:pPr>
        <w:pStyle w:val="2"/>
        <w:jc w:val="center"/>
        <w:rPr>
          <w:rFonts w:hint="default"/>
          <w:sz w:val="24"/>
          <w:szCs w:val="36"/>
          <w:lang w:val="en-US" w:eastAsia="zh-CN"/>
        </w:rPr>
      </w:pPr>
      <w:r>
        <w:rPr>
          <w:rFonts w:hint="default"/>
          <w:sz w:val="24"/>
          <w:szCs w:val="36"/>
          <w:lang w:val="en-US" w:eastAsia="zh-CN"/>
        </w:rPr>
        <w:t>服务指标的具体</w:t>
      </w:r>
      <w:r>
        <w:rPr>
          <w:rFonts w:hint="eastAsia"/>
          <w:sz w:val="24"/>
          <w:szCs w:val="36"/>
          <w:lang w:val="en-US" w:eastAsia="zh-CN"/>
        </w:rPr>
        <w:t>内容</w:t>
      </w:r>
    </w:p>
    <w:p w14:paraId="7705D4CC">
      <w:pPr>
        <w:pStyle w:val="2"/>
        <w:ind w:firstLine="442" w:firstLineChars="2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一、</w:t>
      </w:r>
      <w:r>
        <w:rPr>
          <w:rFonts w:hint="eastAsia" w:ascii="宋体" w:hAnsi="宋体" w:eastAsia="宋体" w:cs="宋体"/>
          <w:b/>
          <w:bCs/>
          <w:sz w:val="22"/>
          <w:szCs w:val="32"/>
          <w:lang w:val="en-US" w:eastAsia="zh-CN"/>
        </w:rPr>
        <w:t>运维服务要求</w:t>
      </w:r>
    </w:p>
    <w:p w14:paraId="5042695D">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第三方运维服务服务范围是渭南市113个市控空气站所有监测仪器、气象仪器、质控设备、数据采集与传输设备、辅助设备、防雷等基础设施的日常维护、数据审核、质量控制、故障维修、必要的质控设备检定或溯源等工作，同时负责站房及辅助设施管理与维护，及时处理电力与网络通讯故障，支付站房电力、网络通讯相应费用，接受渭南市环境保护监测站的质控检查与考核，确保站点各项监测仪器正常稳定运行并与省、市、县生态环境部门联网正常。</w:t>
      </w:r>
    </w:p>
    <w:p w14:paraId="661C54B4">
      <w:pPr>
        <w:pStyle w:val="2"/>
        <w:ind w:firstLine="221" w:firstLineChars="1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（一）</w:t>
      </w:r>
      <w:r>
        <w:rPr>
          <w:rFonts w:hint="eastAsia" w:ascii="宋体" w:hAnsi="宋体" w:eastAsia="宋体" w:cs="宋体"/>
          <w:b/>
          <w:bCs/>
          <w:sz w:val="22"/>
          <w:szCs w:val="32"/>
          <w:lang w:val="en-US" w:eastAsia="zh-CN"/>
        </w:rPr>
        <w:t>运维工作要求</w:t>
      </w:r>
    </w:p>
    <w:p w14:paraId="05BB60FA">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1.运维单位至少拥有1个运维支持机构，并建有空气自动站运维系统支持实验室和质量控制实验室（须提供承诺函）。</w:t>
      </w:r>
    </w:p>
    <w:p w14:paraId="17BF2E02">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运维单位应建立健全内部质控体系，明确质控组成员及职责，确保质控工作有效开展。同时，加强质控记录的档案管理，确保质控活动的每一项操作都有详细、准确的记录作为支撑材料。质控记录需定期提交渭南市环境保护监测站审核。</w:t>
      </w:r>
    </w:p>
    <w:p w14:paraId="46F9A410">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3.应保证配备的专业技术人员数量与其负责日常维护的站点数量比值不低于 1/4（须提供承诺函），所有技术人员须提供不少于3个月的社保缴费证明。</w:t>
      </w:r>
    </w:p>
    <w:p w14:paraId="606818E7">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4.应保证配备的专用巡检车辆数量与负责日常维护的站点数量比值不低于1/8。同时配备1辆驻站保障车，用于运维技术管理工作的日常飞行检查、异常数值现场排查等各类检查工作。（须提供承诺函）</w:t>
      </w:r>
    </w:p>
    <w:p w14:paraId="6DD94104">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 xml:space="preserve">    5.安排至少2名技术人员驻站，负责运维技术管理，汇集、梳理各类数据，编制报表,协调处置异常站点,完成市站安排临时性工作，技术人员须持有国家或省级环境空气质量自动监测类上岗证。</w:t>
      </w:r>
    </w:p>
    <w:p w14:paraId="625426DE">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6.项目应配备必要的质量控制设备，主要包括：SO2、NO、CO标准气体（每个站点1套），标准流量计、温度湿度计、气压计1套/8站、臭氧校准仪1套/20站。标准流量计、温湿度计、气压计和臭氧校准仪通过溯源或校准（提供承诺函）。</w:t>
      </w:r>
    </w:p>
    <w:p w14:paraId="667BE377">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7.应配备至少1台十万分之一的分析天平和1台恒温恒湿平衡装置，配备必要数量的PM10和PM2.5手工比对采样器采样器应通过环境监测仪器质量检验中心的适用性检测的小流量采样器（16.7L/min），颗粒物手工比对核查需按照相关技术规范要求监测。天平、恒温恒湿装置和采样器须提供相应的有效期内的鉴定或校准证书。</w:t>
      </w:r>
    </w:p>
    <w:p w14:paraId="24243059">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8.每8个站点配置1套标准站备机（须提供承诺函、现场查验），备机须通过生态环境部的仪器适用性监测。投标单位须提供备机库存清单（包括但不限于设备品名、品牌、型号、数量等）。</w:t>
      </w:r>
      <w:bookmarkStart w:id="4" w:name="_Toc447865358"/>
    </w:p>
    <w:p w14:paraId="7D3D1384">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 xml:space="preserve">9.采购服务期结束后，运维交接过度期（1 个月）期间运维工作以空气站正常稳定运行为目的，备机、标准气体以实际工作需要为准，不得到期撤离、更换。 </w:t>
      </w:r>
    </w:p>
    <w:p w14:paraId="3AB26579">
      <w:pPr>
        <w:pStyle w:val="2"/>
        <w:ind w:firstLine="221" w:firstLineChars="1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（二）</w:t>
      </w:r>
      <w:r>
        <w:rPr>
          <w:rFonts w:hint="eastAsia" w:ascii="宋体" w:hAnsi="宋体" w:eastAsia="宋体" w:cs="宋体"/>
          <w:b/>
          <w:bCs/>
          <w:sz w:val="22"/>
          <w:szCs w:val="32"/>
          <w:lang w:val="en-US" w:eastAsia="zh-CN"/>
        </w:rPr>
        <w:t>运维技术要求</w:t>
      </w:r>
    </w:p>
    <w:bookmarkEnd w:id="4"/>
    <w:p w14:paraId="06158612">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1.运维单位应遵守国、省、市关于空气自动站运行管理的各项规定，如运维期间国、省、市出台新的空气自动站运行管理规定，则运维工作要求随之执行最新规定。</w:t>
      </w:r>
    </w:p>
    <w:p w14:paraId="217A8BF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做好市控空气自动站数据采集及传输系统的维护及维修，保障空气站与市站、省站、国家总站直联通讯正常。每年对符合要求的空气站开展一次颗粒物手工比对核查；当仪器出现故障不能及时修复时，应在24小时内使用备机开展监测；当仪器损坏报废不能修复时，应在24小时之内使用长期备机开展监测，向市站报告，市站组织确认仪器损坏情况酌情处理。</w:t>
      </w:r>
    </w:p>
    <w:p w14:paraId="27338C0B">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3.运维工作一般要求</w:t>
      </w:r>
    </w:p>
    <w:p w14:paraId="5F1D1482">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保持站房内部环境清洁，布置整齐，各仪器设备干净清洁，设备标识清楚；检查供电、电话及网络通讯的情况，保证系统的正常运行;保证空调正常工作，仪器运行温度保持在25℃左右，站房内温度日波动范围小于3℃，相对湿度保持在80%RH以下；指派专人维护，设备固定牢固，门窗关闭良好，人走关门，非工作人员未经许可不得入内；定期检查消防和安全设施；每次维护后做好系统运行维护记录；进行维护时，应规范操作，注意安全，防止意外发生。</w:t>
      </w:r>
    </w:p>
    <w:p w14:paraId="480909AF">
      <w:pPr>
        <w:pStyle w:val="2"/>
        <w:ind w:firstLine="442" w:firstLineChars="2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（三）</w:t>
      </w:r>
      <w:r>
        <w:rPr>
          <w:rFonts w:hint="eastAsia" w:ascii="宋体" w:hAnsi="宋体" w:eastAsia="宋体" w:cs="宋体"/>
          <w:b/>
          <w:bCs/>
          <w:sz w:val="22"/>
          <w:szCs w:val="32"/>
          <w:lang w:val="en-US" w:eastAsia="zh-CN"/>
        </w:rPr>
        <w:t>运维技术内容</w:t>
      </w:r>
    </w:p>
    <w:p w14:paraId="1C4FCBE7">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1.具体每日工作内容</w:t>
      </w:r>
    </w:p>
    <w:p w14:paraId="23DDA14B">
      <w:pPr>
        <w:pStyle w:val="2"/>
        <w:keepNext/>
        <w:keepLines/>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每天上午和下午两次远程查看各空气站数据及运行情况并形成记录，分析监测数据，对站点运行情况进行远程诊断和运行管理。查看内容包括：判断系统数据采集与传输情况；根据电源电压、站房温度、湿度数据判断站房内部情况；发现运行数据有持续异常值时，应立即通知市监测站，在每日6时～20时出现的故障，应在4小时内解决（通信线路、电力线路故障除外，但应及时与相关部门联系积极解决）；根据仪器分析数据判断仪器运行情况；根据故障报警信号判断现场状况；每日检查数据是否及时上传至县站、市站、省站并正常发布，发现数据掉线及时恢复。</w:t>
      </w:r>
    </w:p>
    <w:p w14:paraId="0C0A92CA">
      <w:pPr>
        <w:pStyle w:val="2"/>
        <w:keepNext/>
        <w:keepLines/>
        <w:pageBreakBefore w:val="0"/>
        <w:widowControl w:val="0"/>
        <w:kinsoku/>
        <w:wordWrap/>
        <w:overflowPunct/>
        <w:topLinePunct w:val="0"/>
        <w:autoSpaceDE/>
        <w:autoSpaceDN/>
        <w:bidi w:val="0"/>
        <w:adjustRightInd/>
        <w:snapToGrid/>
        <w:ind w:firstLine="440" w:firstLineChars="200"/>
        <w:textAlignment w:val="auto"/>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每天通过渭南市空气质量联网监测管理平台完成对前一日各站点数据审核，并向县级、市级和省级监测站提交小时值审核结果和根据小时值生成的各点位日均值。数据审核报送工作应按照市站统一时限要求完成。日常情况下于每日下午14时前完成，当天因网络故障等原因未能完成数据审核报送的，可顺延1日审核报送，最多顺延二日（如前1日产生的数据，应于第2日14时前完成审核，最迟在第4日14前完成审核）。对于未能按时在规定时间内完成审核的数据，须于数据产生一周内，以正式文件形式向市监测站报送书面审核结果及未能按时完成审核的原因。同时每月1日16：00前必须将上月将所有审核结果报送至市站。</w:t>
      </w:r>
    </w:p>
    <w:p w14:paraId="009BB29D">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2.每周工作内容</w:t>
      </w:r>
    </w:p>
    <w:p w14:paraId="61BCFA3B">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每周至少巡视市控自动站1次，并做好巡查记录，巡检时需要完成的工作包括：</w:t>
      </w:r>
    </w:p>
    <w:p w14:paraId="3A31E120">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查看自动站设备是否齐备，无丢失和损坏；检查接地线路是否可靠，排风排气装置工作是否正常，标准气钢瓶阀门是否漏气，标准气的消耗情况。</w:t>
      </w:r>
    </w:p>
    <w:p w14:paraId="1069512B">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检查采样和排气管路是否有漏气或堵塞现象，各分析仪器采样流量是否正常。</w:t>
      </w:r>
    </w:p>
    <w:p w14:paraId="3DFCDC93">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检查各分析仪器的运行状况和工作参数，判断是否正常，如有异常情况及时处理，保证仪器运行正常。</w:t>
      </w:r>
    </w:p>
    <w:p w14:paraId="41537058">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对二氧化硫、一氧化碳、臭氧、氮氧化物分析仪进行零点、跨度检查，如果漂移超过国家相关规范要求，需要进行校准。</w:t>
      </w:r>
    </w:p>
    <w:p w14:paraId="62B3A812">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检查外部环境是否正常，有没有对测定结果或运行环境存在明显影响的污染源。</w:t>
      </w:r>
    </w:p>
    <w:p w14:paraId="3E5F866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检查电路系统和通讯系统，保证系统供电正常，电压稳定，保证站点数据传输正常。</w:t>
      </w:r>
    </w:p>
    <w:p w14:paraId="151C9E97">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检查监测仪器的采样入口与采样支路管线结合部之间安装的过滤膜的污染情况，每周更换滤膜，每周检查监测仪器散热风扇污染情况，及时清洗。</w:t>
      </w:r>
    </w:p>
    <w:p w14:paraId="5C3009DE">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在冬、夏季节应注意站房室内外温差，若温差较大，应及时改变站房温度或对采样总管采取适当的控制措施，防止冷凝现象。</w:t>
      </w:r>
    </w:p>
    <w:p w14:paraId="6FC12F4B">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应及时清除站房周围的杂草和积水，当周围树木生长超过规范规定的控制限时，应及时剪除对采样有影响的树枝。</w:t>
      </w:r>
    </w:p>
    <w:p w14:paraId="588617F1">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应经常检查避雷设施是否可靠，房屋是否有漏雨现象，气象杆和避雷针是否被刮坏，站房外围的其他设施是否有损坏或被水淹，如遇到以上问题应及时处理，保证系统能安全运行。</w:t>
      </w:r>
    </w:p>
    <w:p w14:paraId="1A9819B0">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检查站房的安全设施，做好防火防盗工作。每周对气象仪器及能见度仪的运行情况进行检查。每周对颗粒物的采样纸带进行检查及时更换。每周对站房内外环境卫生进行检查，及时保洁。</w:t>
      </w:r>
    </w:p>
    <w:p w14:paraId="0A5AA645">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3.每月工作内容</w:t>
      </w:r>
    </w:p>
    <w:p w14:paraId="3EAC8B64">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清洗PM10及PM2.5切割器，检查β法颗粒物分析仪仪器喷嘴、压环等部件；检查PM10及PM2.5监测仪、气态分析仪、动态校准仪流量，超过国家相关规范要求，及时进行校准。</w:t>
      </w:r>
    </w:p>
    <w:p w14:paraId="1F8D5016">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PM10及PM2.5自动监测系统同步比对监测核查：每月至少选择10个站点开展手工比对监测；手工比对要求连续监测不少于5天，PM10及PM2.5应同步开展比对，并且每次点位选择尽量分布均匀，每年要实现所有站点全覆盖。</w:t>
      </w:r>
    </w:p>
    <w:p w14:paraId="4241F1E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对仪器显示数据和数据采集仪之间的一致性进行检查；每月对数据进行备份。</w:t>
      </w:r>
    </w:p>
    <w:p w14:paraId="4F2ECF81">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4.每两个月工作</w:t>
      </w:r>
    </w:p>
    <w:p w14:paraId="3A4B0F8D">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更换PM10、PM2.5分析仪滤纸带（必要时），进行系统自检；校准和检查PM10及PM2.5分析仪的温度、气压和时钟；用标准气压计、温度计、湿度计、手持式风速风向仪，校准相关的自动仪器。</w:t>
      </w:r>
    </w:p>
    <w:p w14:paraId="09DE6CA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5.每季度工作内容</w:t>
      </w:r>
    </w:p>
    <w:p w14:paraId="3FB08FCD">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采样总管及采样风机每季度至少清洗一次；对PM10及PM2.5监测仪器进行标准膜校准或K0值检查，超过国家相关规范要求时，及时进行校准。</w:t>
      </w:r>
    </w:p>
    <w:p w14:paraId="0E86E660">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6.每半年工作内容</w:t>
      </w:r>
    </w:p>
    <w:p w14:paraId="0E11AB84">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检查PM10、PM2.5分析仪相对湿度、温度传感器和动态加热装置是否正常工作；对气态污染物监测仪进行多点校准，绘制校准曲线，检验相关系数、斜率和截距。更换振荡天平法颗粒物分析仪旁路过滤器，进行K0值检查；对动态校准仪流量进行20点检查，必要时校准；采用臭氧传递标准对各站点臭氧工作标准进行标准传递，更换零气源净化剂和氧化剂，对零气性能进行检查；对氮氧化物分析仪钼炉转化率进行检查。对能见度仪器进行校准。</w:t>
      </w:r>
    </w:p>
    <w:p w14:paraId="7172C5BB">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7.每年工作内容</w:t>
      </w:r>
    </w:p>
    <w:p w14:paraId="720140EA">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对所有的仪器进行预防性维护，按说明书的要求更换备件，更换所有泵组件。</w:t>
      </w:r>
    </w:p>
    <w:p w14:paraId="08AA0989">
      <w:pPr>
        <w:pStyle w:val="2"/>
        <w:ind w:firstLine="442" w:firstLineChars="2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（四）</w:t>
      </w:r>
      <w:r>
        <w:rPr>
          <w:rFonts w:hint="eastAsia" w:ascii="宋体" w:hAnsi="宋体" w:eastAsia="宋体" w:cs="宋体"/>
          <w:b/>
          <w:bCs/>
          <w:sz w:val="22"/>
          <w:szCs w:val="32"/>
          <w:lang w:val="en-US" w:eastAsia="zh-CN"/>
        </w:rPr>
        <w:t>运维档案</w:t>
      </w:r>
    </w:p>
    <w:p w14:paraId="0C468E1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将市控自动站的运行过程和运行事件进行详细记录，并进行归档管理，同时按照要求做好每次运维电子工单的填写工作，日常运维中使用的相关记录表格，应当使用市监测站制定的统一样式表格。日常运维中使用运行管理相关记录至少应包括：渭南市市控空气自动监测站巡视巡检记录；渭南市市控空气自动监测站运行维护记录表；颗粒监测仪校准检查记录；气态污染物监测仪校准检查记录；空气自动监测系统仪器设备维修记录表；空气自动监测系统备品备件管理记录表；渭南市市控空气自动监测站主要消耗材料使用登记表；多点线性校准表格；标准物质使用记录；空气自动监测系统仪器资料保管清单。</w:t>
      </w:r>
    </w:p>
    <w:p w14:paraId="1FA0ED59">
      <w:pPr>
        <w:pStyle w:val="2"/>
        <w:ind w:firstLine="442" w:firstLineChars="2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（五）</w:t>
      </w:r>
      <w:r>
        <w:rPr>
          <w:rFonts w:hint="eastAsia" w:ascii="宋体" w:hAnsi="宋体" w:eastAsia="宋体" w:cs="宋体"/>
          <w:b/>
          <w:bCs/>
          <w:sz w:val="22"/>
          <w:szCs w:val="32"/>
          <w:lang w:val="en-US" w:eastAsia="zh-CN"/>
        </w:rPr>
        <w:t>日常运维其他相关要求</w:t>
      </w:r>
    </w:p>
    <w:p w14:paraId="55357C50">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每周更换的气态污染物监测仪器所用滤膜，必须为聚四氟乙烯材质；应及时制定每月工作计划，并严格按计划执行，若有变更应及时通知质控和考核单位。应每月5日前，将上月各类记录表格交给考核单位，用于数据复核。运维单位保证满足环保部门对市控自动站故障的响应时间要求，当空气站每日8时～22时出现故障，应在1小时之内响应，4小时内到达现场解决（通信线路、电力线路故障除外，但应及时与相关部门联系积极解决）。若仪器故障无法排除，运维单位必须在48小时内提供并更换相应的备机，保证自动站正常运行。当仪器损坏报废不能修复时，应在48小时之内使用备机开展监测，并同时报告市监测站。对于使用超过8年的仪器在使用过程中发生损坏导致报废，以及因洪水、地震、飓风、台风、站房外部火灾、爆炸、恐怖袭击、武装冲突、蓄意破坏等不可抗力所造成的仪器损坏导致的仪器报废，运维单位要先行提供备机开展监测，并及时报告市站。</w:t>
      </w:r>
    </w:p>
    <w:p w14:paraId="4E4A8317">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严禁擅自改变采样管路连接方式和更改仪器参数设置。否则，市监测站有权终止合同。</w:t>
      </w:r>
    </w:p>
    <w:p w14:paraId="018BF7B9">
      <w:pPr>
        <w:pStyle w:val="2"/>
        <w:ind w:firstLine="442" w:firstLineChars="2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（六）</w:t>
      </w:r>
      <w:r>
        <w:rPr>
          <w:rFonts w:hint="eastAsia" w:ascii="宋体" w:hAnsi="宋体" w:eastAsia="宋体" w:cs="宋体"/>
          <w:b/>
          <w:bCs/>
          <w:sz w:val="22"/>
          <w:szCs w:val="32"/>
          <w:lang w:val="en-US" w:eastAsia="zh-CN"/>
        </w:rPr>
        <w:t>质量控制要求</w:t>
      </w:r>
    </w:p>
    <w:p w14:paraId="582BB577">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1.落实质量管理制度，做好相应记录。量值溯源要求：在每个空气站配备的标准气体须为生态环境部标样所或国家标物中心生产的有证标准物质，新购标准气体应做验证实验，形成验证报告。另外，在用标准气体当钢瓶压力低于500PSIG时，标准需要进行重新验证；当钢瓶压力低于150PSIG(1.0MPa)时停止使用。标准气体必须在有效期内使用。</w:t>
      </w:r>
    </w:p>
    <w:p w14:paraId="6A1783DF">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每年应将运维市控空气站所用的流量传感器、温度传感器、气压传感器等设备溯源到标准设备，按照要求定期将各站点所用的臭氧工作标准向上一级标准设备进行溯源，每半年对各站点所用的动态校准仪、零气发生器进行核查，性能指标应符合要求。所用的流量检查设备应每季度向标准设备进行溯源。</w:t>
      </w:r>
    </w:p>
    <w:p w14:paraId="65057C6C">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3.日常质量控制要求：分析仪在以下6 种情况下需进行校准和再校准：(Ⅰ)安装时；(Ⅱ)移动位置时；(Ⅲ) 进行可能影响校准结果的维修或维护后；(Ⅳ)分析仪暂停工作一段时间后；(Ⅴ)有迹象表明分析仪工作不正常或校准结果出现变化；(Ⅵ)达到国家规范或本招标文件要求的校准周期或校准要求的。</w:t>
      </w:r>
    </w:p>
    <w:p w14:paraId="38E81291">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4.异常数据的审核与检验：中标单位应对监测数据异常值进行分析，查明原因，如属于系统或仪器故障，应在24小时内处理并上报市站。</w:t>
      </w:r>
    </w:p>
    <w:p w14:paraId="45C36E6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5.质量控制资料整理：各种技术与质量文件均保持现行有效，可根据管理需要进行调整或修订，巡检记录、维修记录、日常检查与监督抽查等质量保证与质量控制记录均须按要求进行填写，每年进行整理归档。</w:t>
      </w:r>
    </w:p>
    <w:p w14:paraId="14C23D5F">
      <w:pPr>
        <w:pStyle w:val="2"/>
        <w:ind w:firstLine="442" w:firstLineChars="2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（七）</w:t>
      </w:r>
      <w:r>
        <w:rPr>
          <w:rFonts w:hint="eastAsia" w:ascii="宋体" w:hAnsi="宋体" w:eastAsia="宋体" w:cs="宋体"/>
          <w:b/>
          <w:bCs/>
          <w:sz w:val="22"/>
          <w:szCs w:val="32"/>
          <w:lang w:val="en-US" w:eastAsia="zh-CN"/>
        </w:rPr>
        <w:t>维修要求</w:t>
      </w:r>
    </w:p>
    <w:p w14:paraId="5FD4506D">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 xml:space="preserve">1.运行维修工作界定：运维单位负责所有设备和仪器的维护、维修和部件更换（包括空调设备等附属设施）。 </w:t>
      </w:r>
    </w:p>
    <w:p w14:paraId="240F6331">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关键耗材如：滤膜、标准气体、校准设备等必须采用原厂配套或知名品牌。禁止使用非标或未经环保认证的替代品，须提供耗材采购渠道证明及质量检测报告。常用备件（如泵、泵膜、传感器、电路板）库存充足，响应故障时4小时内到场更换。</w:t>
      </w:r>
    </w:p>
    <w:p w14:paraId="35BF2619">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3.设备维修质量控制要求：监测仪器被修复后，当其检测性能受到影响时，需要进行检验，采用标气测定、颗粒物手工比对核查等方法进行。</w:t>
      </w:r>
    </w:p>
    <w:p w14:paraId="3818F065">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4.仪器大修后(更换设备测试关键部件），应按顺序进行漂移实验（零点漂移、量程漂移）、重复性及准确度实验、多点线性实验，并提交相应报告。</w:t>
      </w:r>
    </w:p>
    <w:p w14:paraId="4F04613A">
      <w:pPr>
        <w:pStyle w:val="2"/>
        <w:rPr>
          <w:rFonts w:hint="eastAsia" w:ascii="宋体" w:hAnsi="宋体" w:eastAsia="宋体" w:cs="宋体"/>
          <w:b/>
          <w:bCs/>
          <w:sz w:val="22"/>
          <w:szCs w:val="32"/>
          <w:lang w:val="en-US" w:eastAsia="zh-CN"/>
        </w:rPr>
      </w:pPr>
      <w:r>
        <w:rPr>
          <w:rFonts w:hint="eastAsia" w:ascii="宋体" w:hAnsi="宋体" w:eastAsia="宋体" w:cs="宋体"/>
          <w:b/>
          <w:bCs/>
          <w:sz w:val="22"/>
          <w:szCs w:val="32"/>
          <w:lang w:val="en-US" w:eastAsia="zh-CN"/>
        </w:rPr>
        <w:t xml:space="preserve"> </w:t>
      </w:r>
      <w:r>
        <w:rPr>
          <w:rFonts w:hint="eastAsia" w:ascii="宋体" w:hAnsi="宋体" w:cs="宋体"/>
          <w:b/>
          <w:bCs/>
          <w:sz w:val="22"/>
          <w:szCs w:val="32"/>
          <w:lang w:val="en-US" w:eastAsia="zh-CN"/>
        </w:rPr>
        <w:t>（八）</w:t>
      </w:r>
      <w:r>
        <w:rPr>
          <w:rFonts w:hint="eastAsia" w:ascii="宋体" w:hAnsi="宋体" w:eastAsia="宋体" w:cs="宋体"/>
          <w:b/>
          <w:bCs/>
          <w:sz w:val="22"/>
          <w:szCs w:val="32"/>
          <w:lang w:val="en-US" w:eastAsia="zh-CN"/>
        </w:rPr>
        <w:t>其他要求</w:t>
      </w:r>
    </w:p>
    <w:p w14:paraId="424E553E">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 xml:space="preserve"> </w:t>
      </w:r>
      <w:r>
        <w:rPr>
          <w:rFonts w:hint="eastAsia" w:ascii="宋体" w:hAnsi="宋体" w:cs="宋体"/>
          <w:b w:val="0"/>
          <w:bCs w:val="0"/>
          <w:sz w:val="22"/>
          <w:szCs w:val="32"/>
          <w:lang w:val="en-US" w:eastAsia="zh-CN"/>
        </w:rPr>
        <w:t xml:space="preserve">  </w:t>
      </w:r>
      <w:r>
        <w:rPr>
          <w:rFonts w:hint="eastAsia" w:ascii="宋体" w:hAnsi="宋体" w:eastAsia="宋体" w:cs="宋体"/>
          <w:b w:val="0"/>
          <w:bCs w:val="0"/>
          <w:sz w:val="22"/>
          <w:szCs w:val="32"/>
          <w:lang w:val="en-US" w:eastAsia="zh-CN"/>
        </w:rPr>
        <w:t>运维单位应配备必要的备件、耗材、工具。备件、耗材按照不少于半年的消耗量配置；应配备足够的维修工具（包括便携式电脑、万用表、远程数据查询系统等）、通讯调试工具（包括各种硬件接口线、改线工具、接口调试软件及常用零部件等）。</w:t>
      </w:r>
    </w:p>
    <w:p w14:paraId="7B539F40">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合同签订后中标单位须将上述要求的配置报市站检查。</w:t>
      </w:r>
    </w:p>
    <w:p w14:paraId="0C1D3923">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中标运维单位应为每个市控空气自动站站房、仪器设备、辅助设备购买商业财产保险，其保额不得低于其实际价值。中标的运维单位须承担合同期内运维站点仪器及其他辅助设施（如空调、消防、避雷、接地、安防系统等）的维护及维修。可更换设施经多次维修仍无法恢复的运维单位应给予更换。</w:t>
      </w:r>
    </w:p>
    <w:p w14:paraId="3B0AA2AA">
      <w:pPr>
        <w:pStyle w:val="2"/>
        <w:ind w:firstLine="442" w:firstLineChars="200"/>
        <w:rPr>
          <w:rFonts w:hint="eastAsia" w:ascii="宋体" w:hAnsi="宋体" w:eastAsia="宋体" w:cs="宋体"/>
          <w:b/>
          <w:bCs/>
          <w:sz w:val="22"/>
          <w:szCs w:val="32"/>
          <w:lang w:val="en-US" w:eastAsia="zh-CN"/>
        </w:rPr>
      </w:pPr>
      <w:r>
        <w:rPr>
          <w:rFonts w:hint="eastAsia" w:ascii="宋体" w:hAnsi="宋体" w:cs="宋体"/>
          <w:b/>
          <w:bCs/>
          <w:sz w:val="22"/>
          <w:szCs w:val="32"/>
          <w:lang w:val="en-US" w:eastAsia="zh-CN"/>
        </w:rPr>
        <w:t>（九）</w:t>
      </w:r>
      <w:r>
        <w:rPr>
          <w:rFonts w:hint="eastAsia" w:ascii="宋体" w:hAnsi="宋体" w:eastAsia="宋体" w:cs="宋体"/>
          <w:b/>
          <w:bCs/>
          <w:sz w:val="22"/>
          <w:szCs w:val="32"/>
          <w:lang w:val="en-US" w:eastAsia="zh-CN"/>
        </w:rPr>
        <w:t>运维考核</w:t>
      </w:r>
    </w:p>
    <w:p w14:paraId="295E0C9D">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1.对运维机构每月“两率”统计一次，每季度考核核算运维费用。考核采取百分制、单站考核的方式进行，主要包括单个站点数据有效性，监测数据获取率（传输率）、数据质控合格率（有效率）（以下简称“两率”）以及运行维护的内容。考核结果用于市控站运维经费支付依据。</w:t>
      </w:r>
    </w:p>
    <w:p w14:paraId="767A2848">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2.单个站点运维考核内容</w:t>
      </w:r>
    </w:p>
    <w:p w14:paraId="06E98DF5">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两率部分：数据获取率和数据质控合格率各占30分，共占60分；运维维护部分占40分。</w:t>
      </w:r>
    </w:p>
    <w:p w14:paraId="59A07951">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3.考核方法：</w:t>
      </w:r>
    </w:p>
    <w:p w14:paraId="5EDBECC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考核时段内单个站点任一监测项目有效数据量应满足《环境空气质量标准》（GB 3095-2012）中规定的污染物浓度数据有效性的最低要求，否则考核总分为0分。</w:t>
      </w:r>
    </w:p>
    <w:p w14:paraId="2B808474">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单站设备数据获取率必须高于90%（含），否则考核总分以0分计，不予支付运维费用。单站设备数据质控合格率必须高于80%，否则考核总分以0分计，不予支付运维费用。</w:t>
      </w:r>
    </w:p>
    <w:p w14:paraId="776DE138">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4.两率及运行维护</w:t>
      </w:r>
    </w:p>
    <w:p w14:paraId="6BDCAF78">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符合上述数据有效性要求后，参照本部分执行。</w:t>
      </w:r>
    </w:p>
    <w:p w14:paraId="73767F9C">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（1）两率部分（60分）单站监测数据获取率高于90%（含）的，得30分；</w:t>
      </w:r>
    </w:p>
    <w:p w14:paraId="6CA2D069">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单站监测数据质控合格率高于90%（含）的得30分；80%（含）-90%的得分为30×（数据质控合格率/90%）。</w:t>
      </w:r>
    </w:p>
    <w:p w14:paraId="6A575242">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运行维护部分（40分）由甲方组织检查核实，核查内容：站房环境保障效果、采样系统维护效果、仪器日常维护效果、质量控制效果、监测项目标识情况、通讯系统维护效果、运维人员要求、档案记录、运维工作完成情况、臭氧传递情况、颗粒物手工比对、周边环境状况及变化情况。运维得分=检查分×0.4。</w:t>
      </w:r>
    </w:p>
    <w:p w14:paraId="38E95FB9">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5.站点考核结果</w:t>
      </w:r>
    </w:p>
    <w:p w14:paraId="0FE5776E">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考核总分低于80分的，不予支付该站点当期运维费；绩效考核总分95（含）分以上的，支付该站点当期全额运维费；绩效考核总分在 80（含）-95分的，该站点当期运维费= (实际考核总分/100)×单站点当期全额运维费。</w:t>
      </w:r>
    </w:p>
    <w:p w14:paraId="45A77090">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6.运维机构考核</w:t>
      </w:r>
    </w:p>
    <w:p w14:paraId="0A8D39E9">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1）运维机构在一次考核中出现10%站点未达到数据有效性要求的，按基本合格处理，给予警告，扣除合同总价的2%罚款；连续2次考核出现10%站点未达到，或者单次考核20%以上站点未达到数据有效性要求的，按不合格处理，终止运维合同，扣除合同总价的4%罚款。外部供电问题等不可抗力原因影响除外。</w:t>
      </w:r>
    </w:p>
    <w:p w14:paraId="7B4F37D6">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2）同一站点连续两个月未达到数据有效性要求的，扣除该站点年度运维经费的50%；连续3个月未达到数据有效性要求的，扣除该站点年度运维经费；连续4个月未达到到数据有效性要求的，运维机构按不合格处理，终止运维合同。外部供电问题等不可抗力原因影响除外。</w:t>
      </w:r>
    </w:p>
    <w:p w14:paraId="64022561">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（3）其它规定：运维机构有下列情形之一的，管理部门将扣除相应站点当月运行经费：</w:t>
      </w:r>
    </w:p>
    <w:p w14:paraId="386FD4FB">
      <w:pPr>
        <w:pStyle w:val="2"/>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出现运维问题（含站房卫生）不及时处置、拖延，未在规定时间内解决问题的；拖延、阻碍、拒绝质量检查或飞行检查的；</w:t>
      </w:r>
    </w:p>
    <w:p w14:paraId="52E5334E">
      <w:pPr>
        <w:pStyle w:val="2"/>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发现采样、分析、数据采集和传输等过程人为干扰，未按要求及时向甲方报告的；因工作疏漏，未发现采样、分析、数据采集和传输等过程人为干扰的；其他不履行规定职责的情形。</w:t>
      </w:r>
    </w:p>
    <w:p w14:paraId="48262469">
      <w:pPr>
        <w:pStyle w:val="2"/>
        <w:numPr>
          <w:ilvl w:val="0"/>
          <w:numId w:val="1"/>
        </w:numPr>
        <w:ind w:firstLine="440" w:firstLineChars="200"/>
        <w:rPr>
          <w:rFonts w:hint="eastAsia" w:ascii="宋体" w:hAnsi="宋体" w:eastAsia="宋体" w:cs="宋体"/>
          <w:b w:val="0"/>
          <w:bCs w:val="0"/>
          <w:sz w:val="22"/>
          <w:szCs w:val="32"/>
          <w:lang w:val="en-US" w:eastAsia="zh-CN"/>
        </w:rPr>
      </w:pPr>
      <w:r>
        <w:rPr>
          <w:rFonts w:hint="eastAsia" w:ascii="宋体" w:hAnsi="宋体" w:eastAsia="宋体" w:cs="宋体"/>
          <w:b w:val="0"/>
          <w:bCs w:val="0"/>
          <w:sz w:val="22"/>
          <w:szCs w:val="32"/>
          <w:lang w:val="en-US" w:eastAsia="zh-CN"/>
        </w:rPr>
        <w:t>因乙方违反相关规定或运维服务未能满足甲方合同要求，甲方终止合同后，将在甲方官方网站向社会公开合同终止相关信息。</w:t>
      </w:r>
    </w:p>
    <w:p w14:paraId="49463C4A">
      <w:pPr>
        <w:rPr>
          <w:rFonts w:hint="eastAsia" w:eastAsiaTheme="minorEastAsia"/>
          <w:lang w:val="en-US" w:eastAsia="zh-CN"/>
        </w:rPr>
      </w:pPr>
    </w:p>
    <w:p w14:paraId="5F86C99D">
      <w:pPr>
        <w:pStyle w:val="2"/>
        <w:rPr>
          <w:rFonts w:hint="eastAsia" w:eastAsiaTheme="minorEastAsia"/>
          <w:lang w:val="en-US" w:eastAsia="zh-CN"/>
        </w:rPr>
      </w:pPr>
    </w:p>
    <w:p w14:paraId="39E84719">
      <w:pPr>
        <w:rPr>
          <w:rFonts w:hint="eastAsia" w:eastAsiaTheme="minorEastAsia"/>
          <w:lang w:val="en-US" w:eastAsia="zh-CN"/>
        </w:rPr>
      </w:pPr>
    </w:p>
    <w:p w14:paraId="42698629">
      <w:pPr>
        <w:pStyle w:val="5"/>
        <w:rPr>
          <w:rFonts w:hint="eastAsia" w:ascii="宋体" w:hAnsi="宋体" w:cs="宋体"/>
        </w:rPr>
      </w:pPr>
      <w:r>
        <w:rPr>
          <w:rFonts w:hint="eastAsia" w:ascii="宋体" w:hAnsi="宋体" w:cs="宋体"/>
        </w:rPr>
        <w:t>合同主要条款</w:t>
      </w:r>
    </w:p>
    <w:p w14:paraId="5E87CA4C">
      <w:pPr>
        <w:jc w:val="center"/>
        <w:rPr>
          <w:rFonts w:hint="eastAsia" w:ascii="宋体" w:hAnsi="宋体" w:cs="宋体"/>
          <w:spacing w:val="12"/>
        </w:rPr>
      </w:pPr>
      <w:r>
        <w:rPr>
          <w:rFonts w:hint="eastAsia" w:ascii="宋体" w:hAnsi="宋体" w:cs="宋体"/>
          <w:spacing w:val="12"/>
        </w:rPr>
        <w:t>注：本合同仅为合同的参考文本，合同签订双方可根据项目的具体要求进行修订。</w:t>
      </w:r>
    </w:p>
    <w:p w14:paraId="4D9D6417">
      <w:pPr>
        <w:rPr>
          <w:rFonts w:hint="eastAsia" w:ascii="宋体" w:hAnsi="宋体" w:cs="宋体"/>
          <w:spacing w:val="12"/>
        </w:rPr>
      </w:pPr>
    </w:p>
    <w:p w14:paraId="069F9300">
      <w:pPr>
        <w:rPr>
          <w:rFonts w:hint="eastAsia" w:ascii="宋体" w:hAnsi="宋体" w:cs="宋体"/>
          <w:spacing w:val="12"/>
          <w:sz w:val="44"/>
          <w:szCs w:val="44"/>
        </w:rPr>
      </w:pPr>
    </w:p>
    <w:p w14:paraId="32C930B8">
      <w:pPr>
        <w:pStyle w:val="4"/>
        <w:rPr>
          <w:rFonts w:hint="eastAsia" w:ascii="宋体" w:hAnsi="宋体" w:cs="宋体"/>
          <w:b/>
          <w:bCs/>
          <w:color w:val="auto"/>
          <w:spacing w:val="12"/>
          <w:sz w:val="32"/>
          <w:szCs w:val="32"/>
        </w:rPr>
      </w:pPr>
    </w:p>
    <w:p w14:paraId="270D052B">
      <w:pPr>
        <w:pStyle w:val="3"/>
        <w:ind w:left="0" w:leftChars="0" w:firstLine="0" w:firstLineChars="0"/>
        <w:jc w:val="center"/>
        <w:rPr>
          <w:rFonts w:hint="eastAsia" w:ascii="宋体" w:hAnsi="宋体" w:cs="宋体"/>
          <w:b/>
          <w:bCs/>
          <w:spacing w:val="12"/>
          <w:sz w:val="32"/>
          <w:szCs w:val="32"/>
        </w:rPr>
      </w:pPr>
      <w:r>
        <w:rPr>
          <w:rFonts w:hint="eastAsia" w:ascii="宋体" w:hAnsi="宋体" w:cs="宋体"/>
          <w:b/>
          <w:bCs/>
          <w:spacing w:val="12"/>
          <w:sz w:val="32"/>
          <w:szCs w:val="32"/>
        </w:rPr>
        <w:t>2025年度渭南市镇（办）环境空气自动监测站运维服务项目</w:t>
      </w:r>
    </w:p>
    <w:p w14:paraId="0E7665F2">
      <w:pPr>
        <w:pStyle w:val="3"/>
        <w:ind w:left="0" w:leftChars="0" w:firstLine="0" w:firstLineChars="0"/>
        <w:jc w:val="center"/>
        <w:rPr>
          <w:rFonts w:hint="eastAsia" w:ascii="宋体" w:hAnsi="宋体" w:eastAsia="宋体" w:cs="宋体"/>
          <w:b/>
          <w:bCs/>
          <w:spacing w:val="12"/>
          <w:sz w:val="40"/>
          <w:szCs w:val="40"/>
        </w:rPr>
      </w:pPr>
      <w:r>
        <w:rPr>
          <w:rFonts w:hint="eastAsia" w:ascii="宋体" w:hAnsi="宋体" w:eastAsia="宋体" w:cs="宋体"/>
          <w:b/>
          <w:bCs/>
          <w:spacing w:val="12"/>
          <w:sz w:val="40"/>
          <w:szCs w:val="40"/>
        </w:rPr>
        <w:t>（</w:t>
      </w:r>
      <w:r>
        <w:rPr>
          <w:rFonts w:hint="eastAsia" w:ascii="宋体" w:hAnsi="宋体" w:eastAsia="宋体" w:cs="宋体"/>
          <w:b/>
          <w:bCs/>
          <w:spacing w:val="12"/>
          <w:sz w:val="40"/>
          <w:szCs w:val="40"/>
          <w:lang w:val="en-US" w:eastAsia="zh-CN"/>
        </w:rPr>
        <w:t>二</w:t>
      </w:r>
      <w:r>
        <w:rPr>
          <w:rFonts w:hint="eastAsia" w:ascii="宋体" w:hAnsi="宋体" w:eastAsia="宋体" w:cs="宋体"/>
          <w:b/>
          <w:bCs/>
          <w:spacing w:val="12"/>
          <w:sz w:val="40"/>
          <w:szCs w:val="40"/>
        </w:rPr>
        <w:t>标段：</w:t>
      </w:r>
      <w:r>
        <w:rPr>
          <w:rFonts w:hint="eastAsia" w:ascii="宋体" w:hAnsi="宋体" w:eastAsia="宋体" w:cs="宋体"/>
          <w:b/>
          <w:bCs/>
          <w:spacing w:val="12"/>
          <w:sz w:val="40"/>
          <w:szCs w:val="40"/>
          <w:lang w:val="en-US" w:eastAsia="zh-CN"/>
        </w:rPr>
        <w:t>质控</w:t>
      </w:r>
      <w:r>
        <w:rPr>
          <w:rFonts w:hint="eastAsia" w:ascii="宋体" w:hAnsi="宋体" w:eastAsia="宋体" w:cs="宋体"/>
          <w:b/>
          <w:bCs/>
          <w:spacing w:val="12"/>
          <w:sz w:val="40"/>
          <w:szCs w:val="40"/>
        </w:rPr>
        <w:t>服务）</w:t>
      </w:r>
    </w:p>
    <w:p w14:paraId="5D9FEF8F">
      <w:pPr>
        <w:pStyle w:val="3"/>
        <w:rPr>
          <w:rFonts w:hint="eastAsia" w:ascii="宋体" w:hAnsi="宋体" w:cs="宋体"/>
          <w:spacing w:val="12"/>
          <w:sz w:val="44"/>
          <w:szCs w:val="44"/>
        </w:rPr>
      </w:pPr>
    </w:p>
    <w:p w14:paraId="7B7CE36F">
      <w:pPr>
        <w:rPr>
          <w:rFonts w:hint="eastAsia"/>
        </w:rPr>
      </w:pPr>
    </w:p>
    <w:p w14:paraId="3853C9B8">
      <w:pPr>
        <w:jc w:val="center"/>
        <w:rPr>
          <w:rFonts w:hint="eastAsia" w:ascii="宋体" w:hAnsi="宋体" w:cs="宋体"/>
          <w:b/>
          <w:bCs/>
          <w:spacing w:val="12"/>
          <w:sz w:val="56"/>
          <w:szCs w:val="56"/>
        </w:rPr>
      </w:pPr>
      <w:r>
        <w:rPr>
          <w:rFonts w:hint="eastAsia" w:ascii="宋体" w:hAnsi="宋体" w:cs="宋体"/>
          <w:b/>
          <w:bCs/>
          <w:spacing w:val="12"/>
          <w:sz w:val="56"/>
          <w:szCs w:val="56"/>
        </w:rPr>
        <w:t>政府采购合同书</w:t>
      </w:r>
    </w:p>
    <w:p w14:paraId="57B52283">
      <w:pPr>
        <w:rPr>
          <w:rFonts w:hint="eastAsia" w:ascii="宋体" w:hAnsi="宋体" w:cs="宋体"/>
          <w:spacing w:val="12"/>
          <w:sz w:val="44"/>
          <w:szCs w:val="44"/>
        </w:rPr>
      </w:pPr>
      <w:r>
        <w:rPr>
          <w:rFonts w:hint="eastAsia" w:ascii="宋体" w:hAnsi="宋体" w:cs="宋体"/>
          <w:spacing w:val="12"/>
          <w:sz w:val="32"/>
          <w:szCs w:val="32"/>
        </w:rPr>
        <w:t xml:space="preserve">                   </w:t>
      </w:r>
    </w:p>
    <w:p w14:paraId="763013B6">
      <w:pPr>
        <w:rPr>
          <w:rFonts w:hint="eastAsia" w:ascii="宋体" w:hAnsi="宋体" w:cs="宋体"/>
          <w:spacing w:val="12"/>
          <w:sz w:val="32"/>
          <w:szCs w:val="32"/>
          <w:u w:val="single"/>
        </w:rPr>
      </w:pPr>
    </w:p>
    <w:p w14:paraId="5918AE3E">
      <w:pPr>
        <w:rPr>
          <w:rFonts w:hint="eastAsia" w:ascii="宋体" w:hAnsi="宋体" w:cs="宋体"/>
          <w:spacing w:val="12"/>
          <w:sz w:val="32"/>
          <w:szCs w:val="32"/>
          <w:u w:val="single"/>
        </w:rPr>
      </w:pPr>
    </w:p>
    <w:p w14:paraId="4B49C737">
      <w:pPr>
        <w:rPr>
          <w:rFonts w:hint="eastAsia" w:ascii="宋体" w:hAnsi="宋体" w:cs="宋体"/>
          <w:spacing w:val="12"/>
          <w:sz w:val="32"/>
          <w:szCs w:val="32"/>
          <w:u w:val="single"/>
        </w:rPr>
      </w:pPr>
    </w:p>
    <w:p w14:paraId="5BB76BB3">
      <w:pPr>
        <w:rPr>
          <w:rFonts w:hint="eastAsia" w:ascii="宋体" w:hAnsi="宋体" w:cs="宋体"/>
        </w:rPr>
      </w:pPr>
    </w:p>
    <w:p w14:paraId="3E2C9A3B">
      <w:pPr>
        <w:rPr>
          <w:rFonts w:hint="eastAsia" w:ascii="宋体" w:hAnsi="宋体" w:cs="宋体"/>
          <w:spacing w:val="12"/>
          <w:sz w:val="32"/>
          <w:szCs w:val="32"/>
        </w:rPr>
      </w:pPr>
    </w:p>
    <w:p w14:paraId="6202C05A">
      <w:pPr>
        <w:pStyle w:val="4"/>
        <w:rPr>
          <w:rFonts w:hint="eastAsia" w:ascii="宋体" w:hAnsi="宋体" w:cs="宋体"/>
          <w:spacing w:val="12"/>
          <w:sz w:val="32"/>
          <w:szCs w:val="32"/>
        </w:rPr>
      </w:pPr>
    </w:p>
    <w:p w14:paraId="7E7D4A60">
      <w:pPr>
        <w:pStyle w:val="4"/>
        <w:rPr>
          <w:rFonts w:hint="eastAsia" w:ascii="宋体" w:hAnsi="宋体" w:cs="宋体"/>
          <w:spacing w:val="12"/>
          <w:sz w:val="32"/>
          <w:szCs w:val="32"/>
        </w:rPr>
      </w:pPr>
    </w:p>
    <w:p w14:paraId="47B1C5D6">
      <w:pPr>
        <w:pStyle w:val="3"/>
        <w:ind w:firstLine="0"/>
        <w:rPr>
          <w:rFonts w:hint="eastAsia"/>
        </w:rPr>
      </w:pPr>
    </w:p>
    <w:p w14:paraId="70DA737E">
      <w:pPr>
        <w:rPr>
          <w:rFonts w:hint="eastAsia"/>
        </w:rPr>
      </w:pPr>
    </w:p>
    <w:p w14:paraId="2AA2817E">
      <w:pPr>
        <w:pStyle w:val="2"/>
        <w:rPr>
          <w:rFonts w:hint="eastAsia"/>
        </w:rPr>
      </w:pPr>
    </w:p>
    <w:p w14:paraId="1D82C0C2">
      <w:pPr>
        <w:ind w:firstLine="1726" w:firstLineChars="500"/>
        <w:rPr>
          <w:rFonts w:hint="eastAsia" w:ascii="宋体" w:hAnsi="宋体" w:cs="宋体"/>
          <w:b/>
          <w:bCs/>
          <w:spacing w:val="12"/>
          <w:sz w:val="32"/>
          <w:szCs w:val="32"/>
        </w:rPr>
      </w:pPr>
      <w:r>
        <w:rPr>
          <w:rFonts w:hint="eastAsia" w:ascii="宋体" w:hAnsi="宋体" w:cs="宋体"/>
          <w:b/>
          <w:bCs/>
          <w:spacing w:val="12"/>
          <w:sz w:val="32"/>
          <w:szCs w:val="32"/>
        </w:rPr>
        <w:t>采</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购</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人：渭南市环境保护监测站</w:t>
      </w:r>
    </w:p>
    <w:p w14:paraId="72EE112F">
      <w:pPr>
        <w:ind w:firstLine="1726" w:firstLineChars="500"/>
        <w:rPr>
          <w:rFonts w:hint="eastAsia" w:ascii="宋体" w:hAnsi="宋体" w:cs="宋体"/>
          <w:sz w:val="22"/>
          <w:szCs w:val="22"/>
        </w:rPr>
      </w:pPr>
      <w:r>
        <w:rPr>
          <w:rFonts w:hint="eastAsia" w:ascii="宋体" w:hAnsi="宋体" w:cs="宋体"/>
          <w:b/>
          <w:bCs/>
          <w:spacing w:val="12"/>
          <w:sz w:val="32"/>
          <w:szCs w:val="32"/>
        </w:rPr>
        <w:t>中</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标</w:t>
      </w:r>
      <w:r>
        <w:rPr>
          <w:rFonts w:hint="eastAsia" w:ascii="宋体" w:hAnsi="宋体" w:cs="宋体"/>
          <w:b/>
          <w:bCs/>
          <w:spacing w:val="12"/>
          <w:sz w:val="32"/>
          <w:szCs w:val="32"/>
          <w:lang w:val="en-US" w:eastAsia="zh-CN"/>
        </w:rPr>
        <w:t xml:space="preserve"> </w:t>
      </w:r>
      <w:r>
        <w:rPr>
          <w:rFonts w:hint="eastAsia" w:ascii="宋体" w:hAnsi="宋体" w:cs="宋体"/>
          <w:b/>
          <w:bCs/>
          <w:spacing w:val="12"/>
          <w:sz w:val="32"/>
          <w:szCs w:val="32"/>
        </w:rPr>
        <w:t>人：</w:t>
      </w:r>
    </w:p>
    <w:p w14:paraId="4EEB376A">
      <w:pPr>
        <w:spacing w:line="360" w:lineRule="auto"/>
        <w:rPr>
          <w:rFonts w:hint="eastAsia" w:ascii="宋体" w:hAnsi="宋体" w:cs="宋体"/>
          <w:sz w:val="22"/>
          <w:szCs w:val="22"/>
        </w:rPr>
      </w:pPr>
    </w:p>
    <w:p w14:paraId="17E233BB">
      <w:pPr>
        <w:spacing w:line="360" w:lineRule="auto"/>
        <w:rPr>
          <w:rFonts w:hint="eastAsia" w:ascii="宋体" w:hAnsi="宋体" w:cs="宋体"/>
          <w:sz w:val="22"/>
          <w:szCs w:val="22"/>
        </w:rPr>
        <w:sectPr>
          <w:pgSz w:w="11906" w:h="16838"/>
          <w:pgMar w:top="1327" w:right="1463" w:bottom="1270" w:left="1463" w:header="851" w:footer="992" w:gutter="0"/>
          <w:cols w:space="425" w:num="1"/>
          <w:docGrid w:type="lines" w:linePitch="312" w:charSpace="0"/>
        </w:sectPr>
      </w:pPr>
    </w:p>
    <w:p w14:paraId="3B116CCE">
      <w:pPr>
        <w:spacing w:line="360" w:lineRule="auto"/>
        <w:rPr>
          <w:rFonts w:hint="eastAsia" w:ascii="宋体" w:hAnsi="宋体" w:cs="宋体"/>
          <w:sz w:val="22"/>
          <w:szCs w:val="22"/>
        </w:rPr>
      </w:pPr>
      <w:r>
        <w:rPr>
          <w:rFonts w:hint="eastAsia" w:ascii="宋体" w:hAnsi="宋体" w:cs="宋体"/>
          <w:sz w:val="22"/>
          <w:szCs w:val="22"/>
        </w:rPr>
        <w:t xml:space="preserve">签订地点：  </w:t>
      </w:r>
    </w:p>
    <w:p w14:paraId="6677CE39">
      <w:pPr>
        <w:spacing w:line="360" w:lineRule="auto"/>
        <w:rPr>
          <w:rFonts w:hint="eastAsia" w:ascii="宋体" w:hAnsi="宋体" w:cs="宋体"/>
          <w:sz w:val="22"/>
          <w:szCs w:val="22"/>
        </w:rPr>
      </w:pPr>
      <w:r>
        <w:rPr>
          <w:rFonts w:hint="eastAsia" w:ascii="宋体" w:hAnsi="宋体" w:cs="宋体"/>
          <w:sz w:val="22"/>
          <w:szCs w:val="22"/>
        </w:rPr>
        <w:t xml:space="preserve">项目编号：                                     </w:t>
      </w:r>
    </w:p>
    <w:p w14:paraId="78D47517">
      <w:pPr>
        <w:spacing w:line="360" w:lineRule="auto"/>
        <w:rPr>
          <w:rFonts w:hint="eastAsia" w:ascii="宋体" w:hAnsi="宋体" w:cs="宋体"/>
          <w:sz w:val="22"/>
          <w:szCs w:val="22"/>
        </w:rPr>
      </w:pPr>
      <w:r>
        <w:rPr>
          <w:rFonts w:hint="eastAsia" w:ascii="宋体" w:hAnsi="宋体" w:cs="宋体"/>
          <w:sz w:val="22"/>
          <w:szCs w:val="22"/>
        </w:rPr>
        <w:t>签订时间：      年  月  日</w:t>
      </w:r>
    </w:p>
    <w:p w14:paraId="11AB228B">
      <w:pPr>
        <w:spacing w:line="360" w:lineRule="auto"/>
        <w:rPr>
          <w:rFonts w:hint="eastAsia" w:ascii="宋体" w:hAnsi="宋体" w:cs="宋体"/>
          <w:sz w:val="22"/>
          <w:szCs w:val="22"/>
        </w:rPr>
      </w:pPr>
      <w:r>
        <w:rPr>
          <w:rFonts w:hint="eastAsia" w:ascii="宋体" w:hAnsi="宋体" w:cs="宋体"/>
          <w:sz w:val="22"/>
          <w:szCs w:val="22"/>
        </w:rPr>
        <w:t xml:space="preserve">采购人（甲方）： 渭南市环境保护监测站 </w:t>
      </w:r>
    </w:p>
    <w:p w14:paraId="5B7E682E">
      <w:pPr>
        <w:spacing w:line="360" w:lineRule="auto"/>
        <w:rPr>
          <w:rFonts w:hint="eastAsia" w:ascii="宋体" w:hAnsi="宋体" w:cs="宋体"/>
          <w:sz w:val="22"/>
          <w:szCs w:val="22"/>
        </w:rPr>
      </w:pPr>
      <w:r>
        <w:rPr>
          <w:rFonts w:hint="eastAsia" w:ascii="宋体" w:hAnsi="宋体" w:cs="宋体"/>
          <w:sz w:val="22"/>
          <w:szCs w:val="22"/>
        </w:rPr>
        <w:t>中标人（乙方）：</w:t>
      </w:r>
    </w:p>
    <w:p w14:paraId="7084484A">
      <w:pPr>
        <w:spacing w:line="360" w:lineRule="auto"/>
        <w:ind w:firstLine="440" w:firstLineChars="200"/>
        <w:rPr>
          <w:rFonts w:hint="eastAsia" w:ascii="宋体" w:hAnsi="宋体" w:cs="宋体"/>
          <w:sz w:val="22"/>
          <w:szCs w:val="22"/>
        </w:rPr>
      </w:pPr>
    </w:p>
    <w:p w14:paraId="2B5C9605">
      <w:pPr>
        <w:spacing w:line="360" w:lineRule="auto"/>
        <w:ind w:firstLine="440" w:firstLineChars="200"/>
        <w:rPr>
          <w:rFonts w:hint="eastAsia" w:ascii="宋体" w:hAnsi="宋体" w:cs="宋体"/>
          <w:sz w:val="22"/>
          <w:szCs w:val="22"/>
        </w:rPr>
      </w:pPr>
      <w:r>
        <w:rPr>
          <w:rFonts w:hint="eastAsia" w:ascii="宋体" w:hAnsi="宋体" w:cs="宋体"/>
          <w:sz w:val="22"/>
          <w:szCs w:val="22"/>
        </w:rPr>
        <w:t>根据</w:t>
      </w:r>
      <w:r>
        <w:rPr>
          <w:rFonts w:hint="eastAsia" w:ascii="宋体" w:hAnsi="宋体" w:cs="宋体"/>
          <w:b/>
          <w:bCs/>
          <w:sz w:val="22"/>
          <w:szCs w:val="22"/>
          <w:u w:val="single"/>
        </w:rPr>
        <w:t>2025年度渭南市镇（办）环境空气自动监测站运维服务项目</w:t>
      </w:r>
      <w:r>
        <w:rPr>
          <w:rFonts w:hint="eastAsia" w:ascii="宋体" w:hAnsi="宋体" w:cs="宋体"/>
          <w:sz w:val="22"/>
          <w:szCs w:val="22"/>
        </w:rPr>
        <w:t>的采购结果，按照《中华人民共和国政府采购法》、《中华人民共和国民法典》等规定，经双方协商，本着平等互利和诚实信用的原则，一致同意签订本合同如下。</w:t>
      </w:r>
    </w:p>
    <w:p w14:paraId="65CBF815">
      <w:pPr>
        <w:spacing w:line="360" w:lineRule="auto"/>
        <w:ind w:firstLine="442" w:firstLineChars="200"/>
        <w:rPr>
          <w:rFonts w:hint="eastAsia" w:ascii="宋体" w:hAnsi="宋体" w:cs="宋体"/>
          <w:b/>
          <w:bCs/>
          <w:sz w:val="22"/>
          <w:szCs w:val="22"/>
        </w:rPr>
      </w:pPr>
      <w:r>
        <w:rPr>
          <w:rFonts w:hint="eastAsia" w:ascii="宋体" w:hAnsi="宋体" w:cs="宋体"/>
          <w:b/>
          <w:bCs/>
          <w:sz w:val="22"/>
          <w:szCs w:val="22"/>
        </w:rPr>
        <w:t>一、合同文件</w:t>
      </w:r>
    </w:p>
    <w:p w14:paraId="514D0D37">
      <w:pPr>
        <w:spacing w:line="360" w:lineRule="auto"/>
        <w:ind w:firstLine="440" w:firstLineChars="200"/>
        <w:rPr>
          <w:rFonts w:hint="eastAsia" w:ascii="宋体" w:hAnsi="宋体" w:cs="宋体"/>
          <w:sz w:val="22"/>
          <w:szCs w:val="22"/>
        </w:rPr>
      </w:pPr>
      <w:r>
        <w:rPr>
          <w:rFonts w:hint="eastAsia" w:ascii="宋体" w:hAnsi="宋体" w:cs="宋体"/>
          <w:sz w:val="22"/>
          <w:szCs w:val="22"/>
        </w:rPr>
        <w:t>1、协议书条款；</w:t>
      </w:r>
    </w:p>
    <w:p w14:paraId="0929FF28">
      <w:pPr>
        <w:spacing w:line="360" w:lineRule="auto"/>
        <w:ind w:firstLine="440" w:firstLineChars="200"/>
        <w:rPr>
          <w:rFonts w:hint="eastAsia" w:ascii="宋体" w:hAnsi="宋体" w:cs="宋体"/>
          <w:sz w:val="22"/>
          <w:szCs w:val="22"/>
        </w:rPr>
      </w:pPr>
      <w:r>
        <w:rPr>
          <w:rFonts w:hint="eastAsia" w:ascii="宋体" w:hAnsi="宋体" w:cs="宋体"/>
          <w:sz w:val="22"/>
          <w:szCs w:val="22"/>
        </w:rPr>
        <w:t>2、招标文件；</w:t>
      </w:r>
    </w:p>
    <w:p w14:paraId="171CEEDB">
      <w:pPr>
        <w:spacing w:line="360" w:lineRule="auto"/>
        <w:ind w:firstLine="440" w:firstLineChars="200"/>
        <w:rPr>
          <w:rFonts w:hint="eastAsia" w:ascii="宋体" w:hAnsi="宋体" w:cs="宋体"/>
          <w:sz w:val="22"/>
          <w:szCs w:val="22"/>
        </w:rPr>
      </w:pPr>
      <w:r>
        <w:rPr>
          <w:rFonts w:hint="eastAsia" w:ascii="宋体" w:hAnsi="宋体" w:cs="宋体"/>
          <w:sz w:val="22"/>
          <w:szCs w:val="22"/>
        </w:rPr>
        <w:t>3、投标文件；</w:t>
      </w:r>
    </w:p>
    <w:p w14:paraId="5AF2B41D">
      <w:pPr>
        <w:spacing w:line="360" w:lineRule="auto"/>
        <w:ind w:firstLine="440" w:firstLineChars="200"/>
        <w:rPr>
          <w:rFonts w:hint="eastAsia" w:ascii="宋体" w:hAnsi="宋体" w:cs="宋体"/>
          <w:sz w:val="22"/>
          <w:szCs w:val="22"/>
        </w:rPr>
      </w:pPr>
      <w:r>
        <w:rPr>
          <w:rFonts w:hint="eastAsia" w:ascii="宋体" w:hAnsi="宋体" w:cs="宋体"/>
          <w:sz w:val="22"/>
          <w:szCs w:val="22"/>
        </w:rPr>
        <w:t>4、中标通知书；</w:t>
      </w:r>
    </w:p>
    <w:p w14:paraId="08FD3049">
      <w:pPr>
        <w:spacing w:line="360" w:lineRule="auto"/>
        <w:ind w:firstLine="440" w:firstLineChars="200"/>
        <w:rPr>
          <w:rFonts w:hint="eastAsia" w:ascii="宋体" w:hAnsi="宋体" w:cs="宋体"/>
          <w:sz w:val="22"/>
          <w:szCs w:val="22"/>
        </w:rPr>
      </w:pPr>
      <w:r>
        <w:rPr>
          <w:rFonts w:hint="eastAsia" w:ascii="宋体" w:hAnsi="宋体" w:cs="宋体"/>
          <w:sz w:val="22"/>
          <w:szCs w:val="22"/>
        </w:rPr>
        <w:t>5、其他。</w:t>
      </w:r>
    </w:p>
    <w:p w14:paraId="0750EEC2">
      <w:pPr>
        <w:spacing w:line="360" w:lineRule="auto"/>
        <w:ind w:firstLine="440" w:firstLineChars="200"/>
        <w:rPr>
          <w:rFonts w:hint="eastAsia" w:ascii="宋体" w:hAnsi="宋体" w:cs="宋体"/>
          <w:sz w:val="22"/>
          <w:szCs w:val="22"/>
        </w:rPr>
      </w:pPr>
      <w:r>
        <w:rPr>
          <w:rFonts w:hint="eastAsia" w:ascii="宋体" w:hAnsi="宋体" w:cs="宋体"/>
          <w:sz w:val="22"/>
          <w:szCs w:val="22"/>
        </w:rPr>
        <w:t>上述所指合同文件应认为是互相补充和解释的，但是有模棱两可或互相矛盾之处，以其所列内容顺序为准。</w:t>
      </w:r>
    </w:p>
    <w:p w14:paraId="707E68ED">
      <w:pPr>
        <w:spacing w:line="360" w:lineRule="auto"/>
        <w:ind w:firstLine="442" w:firstLineChars="200"/>
        <w:rPr>
          <w:rFonts w:hint="eastAsia" w:ascii="宋体" w:hAnsi="宋体" w:cs="宋体"/>
          <w:b/>
          <w:bCs/>
          <w:sz w:val="22"/>
          <w:szCs w:val="22"/>
        </w:rPr>
      </w:pPr>
      <w:r>
        <w:rPr>
          <w:rFonts w:hint="eastAsia" w:ascii="宋体" w:hAnsi="宋体" w:cs="宋体"/>
          <w:b/>
          <w:bCs/>
          <w:sz w:val="22"/>
          <w:szCs w:val="22"/>
        </w:rPr>
        <w:t>二、合同价款</w:t>
      </w:r>
    </w:p>
    <w:p w14:paraId="3109273B">
      <w:pPr>
        <w:spacing w:line="360" w:lineRule="auto"/>
        <w:ind w:firstLine="440" w:firstLineChars="200"/>
        <w:rPr>
          <w:rFonts w:hint="eastAsia" w:ascii="宋体" w:hAnsi="宋体" w:cs="宋体"/>
          <w:b/>
          <w:bCs/>
          <w:sz w:val="22"/>
          <w:szCs w:val="22"/>
        </w:rPr>
      </w:pPr>
      <w:r>
        <w:rPr>
          <w:rFonts w:hint="eastAsia" w:ascii="宋体" w:hAnsi="宋体" w:cs="宋体"/>
          <w:sz w:val="22"/>
          <w:szCs w:val="22"/>
        </w:rPr>
        <w:t>（一）合同总价款为</w:t>
      </w:r>
      <w:r>
        <w:rPr>
          <w:rFonts w:hint="eastAsia" w:ascii="宋体" w:hAnsi="宋体" w:cs="宋体"/>
          <w:b/>
          <w:bCs/>
          <w:sz w:val="22"/>
          <w:szCs w:val="22"/>
        </w:rPr>
        <w:t>人民币（大写）</w:t>
      </w:r>
      <w:r>
        <w:rPr>
          <w:rFonts w:hint="eastAsia" w:ascii="宋体" w:hAnsi="宋体" w:cs="宋体"/>
          <w:b/>
          <w:bCs/>
          <w:sz w:val="22"/>
          <w:szCs w:val="22"/>
          <w:u w:val="single"/>
        </w:rPr>
        <w:t xml:space="preserve">                    </w:t>
      </w:r>
      <w:r>
        <w:rPr>
          <w:rFonts w:hint="eastAsia" w:ascii="宋体" w:hAnsi="宋体" w:cs="宋体"/>
          <w:b/>
          <w:bCs/>
          <w:sz w:val="22"/>
          <w:szCs w:val="22"/>
        </w:rPr>
        <w:t xml:space="preserve"> （¥</w:t>
      </w:r>
      <w:r>
        <w:rPr>
          <w:rFonts w:hint="eastAsia" w:ascii="宋体" w:hAnsi="宋体" w:cs="宋体"/>
          <w:b/>
          <w:bCs/>
          <w:sz w:val="22"/>
          <w:szCs w:val="22"/>
          <w:u w:val="single"/>
        </w:rPr>
        <w:t xml:space="preserve">            </w:t>
      </w:r>
      <w:r>
        <w:rPr>
          <w:rFonts w:hint="eastAsia" w:ascii="宋体" w:hAnsi="宋体" w:cs="宋体"/>
          <w:b/>
          <w:bCs/>
          <w:sz w:val="22"/>
          <w:szCs w:val="22"/>
        </w:rPr>
        <w:t>）。</w:t>
      </w:r>
    </w:p>
    <w:p w14:paraId="2BF7030B">
      <w:pPr>
        <w:spacing w:line="360" w:lineRule="auto"/>
        <w:ind w:firstLine="440" w:firstLineChars="200"/>
        <w:rPr>
          <w:rFonts w:hint="eastAsia" w:ascii="宋体" w:hAnsi="宋体" w:cs="宋体"/>
          <w:sz w:val="22"/>
          <w:szCs w:val="22"/>
        </w:rPr>
      </w:pPr>
      <w:r>
        <w:rPr>
          <w:rFonts w:hint="eastAsia" w:ascii="宋体" w:hAnsi="宋体" w:cs="宋体"/>
          <w:sz w:val="22"/>
          <w:szCs w:val="22"/>
        </w:rPr>
        <w:t>（二）合同总价款是指完成本次服务包含的所有费用，包括但不限于本次项目的人工费、服务费、管理费、为提供服务所需的设备费、税金等所有费用，服务期内采购人不再增加任何费用。</w:t>
      </w:r>
    </w:p>
    <w:p w14:paraId="25F363B2">
      <w:pPr>
        <w:spacing w:line="360" w:lineRule="auto"/>
        <w:ind w:firstLine="440" w:firstLineChars="200"/>
        <w:rPr>
          <w:rFonts w:hint="eastAsia" w:ascii="宋体" w:hAnsi="宋体" w:cs="宋体"/>
          <w:sz w:val="22"/>
          <w:szCs w:val="22"/>
        </w:rPr>
      </w:pPr>
      <w:r>
        <w:rPr>
          <w:rFonts w:hint="eastAsia" w:ascii="宋体" w:hAnsi="宋体" w:cs="宋体"/>
          <w:sz w:val="22"/>
          <w:szCs w:val="22"/>
        </w:rPr>
        <w:t>（三）合同总价一次性包干，不受市场价格变化因素的影响。</w:t>
      </w:r>
    </w:p>
    <w:p w14:paraId="7FF9A8D9">
      <w:pPr>
        <w:spacing w:line="360" w:lineRule="auto"/>
        <w:ind w:firstLine="442" w:firstLineChars="200"/>
        <w:rPr>
          <w:rFonts w:hint="eastAsia" w:ascii="宋体" w:hAnsi="宋体" w:cs="宋体"/>
          <w:b/>
          <w:sz w:val="22"/>
          <w:szCs w:val="22"/>
        </w:rPr>
      </w:pPr>
      <w:r>
        <w:rPr>
          <w:rFonts w:hint="eastAsia" w:ascii="宋体" w:hAnsi="宋体" w:cs="宋体"/>
          <w:b/>
          <w:sz w:val="22"/>
          <w:szCs w:val="22"/>
        </w:rPr>
        <w:t>三、款项结算</w:t>
      </w:r>
    </w:p>
    <w:p w14:paraId="24BE0CA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bCs/>
          <w:kern w:val="0"/>
          <w:sz w:val="22"/>
          <w:szCs w:val="22"/>
        </w:rPr>
      </w:pPr>
      <w:r>
        <w:rPr>
          <w:rFonts w:hint="eastAsia" w:ascii="宋体" w:hAnsi="宋体" w:cs="宋体"/>
          <w:kern w:val="0"/>
          <w:sz w:val="22"/>
          <w:szCs w:val="22"/>
        </w:rPr>
        <w:t>（一）合同价款的支付：合同签订后，采购人支付合同总额的40%；中标供应商按照服务要求全部完成服务，验收合格后支付剩余60%合同价款</w:t>
      </w:r>
      <w:r>
        <w:rPr>
          <w:rFonts w:hint="eastAsia" w:ascii="宋体" w:hAnsi="宋体" w:cs="宋体"/>
          <w:b/>
          <w:bCs/>
          <w:kern w:val="0"/>
          <w:sz w:val="22"/>
          <w:szCs w:val="22"/>
        </w:rPr>
        <w:t xml:space="preserve">。 </w:t>
      </w:r>
    </w:p>
    <w:p w14:paraId="467F5791">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（二）支付方式：银行转账。</w:t>
      </w:r>
    </w:p>
    <w:p w14:paraId="5B1E21A1">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（三）结算方式：由采购人负责结算，合同签订后，中标人在接受付款前，开具等额发票给采购人。</w:t>
      </w:r>
    </w:p>
    <w:p w14:paraId="67695FE3">
      <w:pPr>
        <w:spacing w:line="360" w:lineRule="auto"/>
        <w:ind w:firstLine="442" w:firstLineChars="200"/>
        <w:rPr>
          <w:rFonts w:ascii="宋体" w:hAnsi="宋体" w:cs="宋体"/>
          <w:b/>
          <w:sz w:val="22"/>
          <w:szCs w:val="22"/>
        </w:rPr>
      </w:pPr>
      <w:r>
        <w:rPr>
          <w:rFonts w:hint="eastAsia" w:ascii="宋体" w:hAnsi="宋体" w:cs="宋体"/>
          <w:b/>
          <w:sz w:val="22"/>
          <w:szCs w:val="22"/>
        </w:rPr>
        <w:t>四、服务具体指标</w:t>
      </w:r>
    </w:p>
    <w:p w14:paraId="22E15335">
      <w:pPr>
        <w:spacing w:line="360" w:lineRule="auto"/>
        <w:ind w:firstLine="482" w:firstLineChars="200"/>
        <w:rPr>
          <w:rFonts w:ascii="宋体" w:hAnsi="宋体" w:cs="宋体"/>
          <w:b/>
          <w:bCs/>
          <w:sz w:val="24"/>
        </w:rPr>
      </w:pPr>
      <w:r>
        <w:rPr>
          <w:rFonts w:hint="eastAsia" w:ascii="宋体" w:hAnsi="宋体" w:cs="宋体"/>
          <w:b/>
          <w:bCs/>
          <w:sz w:val="24"/>
        </w:rPr>
        <w:t>（1）服务内容</w:t>
      </w:r>
    </w:p>
    <w:p w14:paraId="4A6FD75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负责渭南市113个市控环境空气质量站质控服务，质控检查工作内容包括各空气站的站房环境条件保障效果、采样系统维护效果、仪器日常维护效果、质量控制效果、数据采集及通讯情况、人员与档案管理情况、日常运维任务完成情况、异常处理情况检查。</w:t>
      </w:r>
    </w:p>
    <w:p w14:paraId="30214F6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质控检查工作通过站点环境检查、运维质控记录检查、仪器状态参数检查、历史数据检查等方式对各站点进行考核。</w:t>
      </w:r>
    </w:p>
    <w:p w14:paraId="1CFC067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应对检查结果和检查质量负全部责任。</w:t>
      </w:r>
    </w:p>
    <w:p w14:paraId="42A401C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需提供详细的现场质控检查方案和内部监督方案，并制定相应的质控检查评分表。</w:t>
      </w:r>
    </w:p>
    <w:p w14:paraId="1CE3DAB7">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现场质控检查内容</w:t>
      </w:r>
    </w:p>
    <w:p w14:paraId="6FF79B03">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自动监测现场质控检查内容包括日常运维任务完成情况、异常情况处理情况、站房及周边环境保障效果（含站房周边20-50米的干扰行为检查情况）、采样系统维护效果、仪器日常维护效果、质量控制效果、通讯系统维护效果（数据上传发布情况）、人员与档案记录管理情况等内容，并根据质控检查评分表对检查结果进行打分。</w:t>
      </w:r>
    </w:p>
    <w:p w14:paraId="651745F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1.数据传输检查</w:t>
      </w:r>
    </w:p>
    <w:p w14:paraId="6069ED2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原始数据、数采采集数据与总、省、市站相关平台的数据应保持一致，保证数据传输真实、准确、及时。针对站点的数据质量及运行状况进行远程定期巡检，数据趋势异常时并报送巡检报告。</w:t>
      </w:r>
    </w:p>
    <w:p w14:paraId="6127B4E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2.运维工作完成情况检查</w:t>
      </w:r>
    </w:p>
    <w:p w14:paraId="2F696BA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运维工作完成情况检查内容包括每日巡视、每周巡检、每月、每季度、每半年任务、每年度任务完成情况、异常处理、自动站维护档案、人员操作及记录规范等。</w:t>
      </w:r>
    </w:p>
    <w:p w14:paraId="79E3296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3.自动监测设备质控检查</w:t>
      </w:r>
    </w:p>
    <w:p w14:paraId="29D4164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自动监测设备质控检查主要利用校准仪器或标准物质对监测站点设备进行性能和准确性检查，空气站监测设备质控检查内容包括颗粒物 PM2.5 /PM10流量和校准膜检查，四气态分析仪流量、零点、跨度、精密度和多点校准曲线检查，动态校准仪MFC流量和多点曲线检查，臭氧量值溯源传递检查，NOx 钼炉转化检查，颗粒物手工比对检查。气象五参数、主要使用经过计量传递或校准的标准流量计、温度计、大气压力计等对自动监测设备、辅助设备进行质控检查。</w:t>
      </w:r>
    </w:p>
    <w:p w14:paraId="25DAE515">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检查频次及成果汇报</w:t>
      </w:r>
    </w:p>
    <w:p w14:paraId="71B3630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按照甲方质控检查工作要求制定具体质控检查方案，确保各空气站、每季度至少开展1次检查。需提供详细的自动监测现场质控检查方案，明确工作目标、工作内容、检查方法和相关检查记录表格等。提供本项目的内部监督方案。针对本项工作服务方制定的内部监督方案，中标方对本项工作开展内部监督，加强对本项目的监管，以科学、细化、可较好的监督工作执行情况。</w:t>
      </w:r>
    </w:p>
    <w:p w14:paraId="455AF92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现场检查完成后形成检查报告，按照月、季度、年度报告汇总并报送市站。飞行检查、临时检查等按照甲方有关要求实施，检查完成后出具相关报告。</w:t>
      </w:r>
    </w:p>
    <w:p w14:paraId="541B8697">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检查结果绩效考评及问题反馈</w:t>
      </w:r>
    </w:p>
    <w:p w14:paraId="0364F45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应每季度对各个站点进行考核。考核采取百分制、单站考核的方式，主要包括单个站点监测据获取率、数据有效率以及运行维护的内容。检查结束后及时将发现的异常情况与甲方及具体的运维单位反馈，对发现的问题进行汇总说明，提供详细的检查中所发现的问题。</w:t>
      </w:r>
    </w:p>
    <w:p w14:paraId="7F279BDD">
      <w:pPr>
        <w:widowControl/>
        <w:tabs>
          <w:tab w:val="left" w:pos="0"/>
          <w:tab w:val="left" w:pos="437"/>
          <w:tab w:val="left" w:pos="1311"/>
        </w:tabs>
        <w:adjustRightInd w:val="0"/>
        <w:snapToGrid w:val="0"/>
        <w:spacing w:line="360" w:lineRule="auto"/>
        <w:ind w:firstLine="442" w:firstLineChars="200"/>
        <w:jc w:val="left"/>
        <w:rPr>
          <w:rFonts w:ascii="宋体" w:hAnsi="宋体" w:cs="宋体"/>
          <w:b/>
          <w:bCs/>
          <w:kern w:val="0"/>
          <w:sz w:val="22"/>
          <w:szCs w:val="22"/>
        </w:rPr>
      </w:pPr>
      <w:r>
        <w:rPr>
          <w:rFonts w:hint="eastAsia" w:ascii="宋体" w:hAnsi="宋体" w:cs="宋体"/>
          <w:b/>
          <w:bCs/>
          <w:kern w:val="0"/>
          <w:sz w:val="22"/>
          <w:szCs w:val="22"/>
        </w:rPr>
        <w:t>（2）合同履约期限</w:t>
      </w:r>
    </w:p>
    <w:p w14:paraId="5B43A62C">
      <w:pPr>
        <w:spacing w:line="360" w:lineRule="auto"/>
        <w:ind w:firstLine="440" w:firstLineChars="200"/>
        <w:rPr>
          <w:rFonts w:hint="eastAsia" w:ascii="宋体" w:hAnsi="宋体" w:cs="宋体"/>
          <w:sz w:val="22"/>
          <w:szCs w:val="22"/>
        </w:rPr>
      </w:pPr>
      <w:r>
        <w:rPr>
          <w:rFonts w:hint="eastAsia" w:ascii="宋体" w:hAnsi="宋体" w:cs="宋体"/>
          <w:sz w:val="22"/>
          <w:szCs w:val="22"/>
        </w:rPr>
        <w:t>服务期：46个老站运维服务时间为16个月（2025年8月-2026年11月），67个新站运维服务时间为12个月（2025年12月-2026年11月）。</w:t>
      </w:r>
    </w:p>
    <w:p w14:paraId="637B2B58">
      <w:pPr>
        <w:widowControl/>
        <w:tabs>
          <w:tab w:val="left" w:pos="0"/>
          <w:tab w:val="left" w:pos="437"/>
          <w:tab w:val="left" w:pos="1311"/>
        </w:tabs>
        <w:adjustRightInd w:val="0"/>
        <w:snapToGrid w:val="0"/>
        <w:spacing w:line="360" w:lineRule="auto"/>
        <w:ind w:firstLine="442" w:firstLineChars="200"/>
        <w:jc w:val="left"/>
        <w:rPr>
          <w:rFonts w:hint="default" w:ascii="宋体" w:hAnsi="宋体" w:eastAsia="宋体" w:cs="宋体"/>
          <w:b/>
          <w:bCs/>
          <w:kern w:val="0"/>
          <w:sz w:val="22"/>
          <w:szCs w:val="22"/>
          <w:lang w:val="en-US" w:eastAsia="zh-CN"/>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3</w:t>
      </w: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服务地点</w:t>
      </w:r>
    </w:p>
    <w:p w14:paraId="643663B9">
      <w:pPr>
        <w:widowControl/>
        <w:tabs>
          <w:tab w:val="left" w:pos="0"/>
          <w:tab w:val="left" w:pos="437"/>
          <w:tab w:val="left" w:pos="1311"/>
        </w:tabs>
        <w:adjustRightInd w:val="0"/>
        <w:snapToGrid w:val="0"/>
        <w:spacing w:line="360" w:lineRule="auto"/>
        <w:ind w:firstLine="442" w:firstLineChars="200"/>
        <w:jc w:val="left"/>
        <w:rPr>
          <w:rFonts w:hint="eastAsia" w:ascii="宋体" w:hAnsi="宋体" w:eastAsia="宋体" w:cs="宋体"/>
          <w:b/>
          <w:bCs/>
          <w:kern w:val="0"/>
          <w:sz w:val="22"/>
          <w:szCs w:val="22"/>
          <w:lang w:val="en-US" w:eastAsia="zh-CN"/>
        </w:rPr>
      </w:pPr>
      <w:r>
        <w:rPr>
          <w:rFonts w:hint="eastAsia" w:ascii="宋体" w:hAnsi="宋体" w:cs="宋体"/>
          <w:b/>
          <w:bCs/>
          <w:kern w:val="0"/>
          <w:sz w:val="22"/>
          <w:szCs w:val="22"/>
          <w:lang w:val="en-US" w:eastAsia="zh-CN"/>
        </w:rPr>
        <w:t>渭南市</w:t>
      </w:r>
      <w:r>
        <w:rPr>
          <w:rFonts w:hint="eastAsia" w:ascii="宋体" w:hAnsi="宋体" w:cs="宋体"/>
          <w:b w:val="0"/>
          <w:bCs w:val="0"/>
          <w:kern w:val="0"/>
          <w:sz w:val="22"/>
          <w:szCs w:val="22"/>
          <w:lang w:eastAsia="zh-CN"/>
        </w:rPr>
        <w:t>（</w:t>
      </w:r>
      <w:r>
        <w:rPr>
          <w:rFonts w:hint="eastAsia" w:ascii="宋体" w:hAnsi="宋体" w:cs="宋体"/>
          <w:b w:val="0"/>
          <w:bCs w:val="0"/>
          <w:kern w:val="0"/>
          <w:sz w:val="22"/>
          <w:szCs w:val="22"/>
          <w:lang w:val="en-US" w:eastAsia="zh-CN"/>
        </w:rPr>
        <w:t>具体详见附件1</w:t>
      </w:r>
      <w:r>
        <w:rPr>
          <w:rFonts w:hint="eastAsia" w:ascii="宋体" w:hAnsi="宋体" w:cs="宋体"/>
          <w:b w:val="0"/>
          <w:bCs w:val="0"/>
          <w:kern w:val="0"/>
          <w:sz w:val="22"/>
          <w:szCs w:val="22"/>
          <w:lang w:eastAsia="zh-CN"/>
        </w:rPr>
        <w:t>）</w:t>
      </w:r>
    </w:p>
    <w:p w14:paraId="2C69FE51">
      <w:pPr>
        <w:widowControl/>
        <w:tabs>
          <w:tab w:val="left" w:pos="0"/>
          <w:tab w:val="left" w:pos="437"/>
          <w:tab w:val="left" w:pos="1311"/>
        </w:tabs>
        <w:adjustRightInd w:val="0"/>
        <w:snapToGrid w:val="0"/>
        <w:spacing w:line="360" w:lineRule="auto"/>
        <w:ind w:firstLine="442" w:firstLineChars="200"/>
        <w:jc w:val="left"/>
        <w:rPr>
          <w:rFonts w:hint="default" w:ascii="宋体" w:hAnsi="宋体" w:eastAsia="宋体" w:cs="宋体"/>
          <w:b/>
          <w:bCs/>
          <w:kern w:val="0"/>
          <w:sz w:val="22"/>
          <w:szCs w:val="22"/>
          <w:lang w:val="en-US" w:eastAsia="zh-CN"/>
        </w:rPr>
      </w:pPr>
      <w:r>
        <w:rPr>
          <w:rFonts w:hint="eastAsia" w:ascii="宋体" w:hAnsi="宋体" w:cs="宋体"/>
          <w:b/>
          <w:bCs/>
          <w:kern w:val="0"/>
          <w:sz w:val="22"/>
          <w:szCs w:val="22"/>
          <w:lang w:val="en-US" w:eastAsia="zh-CN"/>
        </w:rPr>
        <w:t>五、服务要求</w:t>
      </w:r>
    </w:p>
    <w:p w14:paraId="12B28AC8">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lang w:eastAsia="zh-CN"/>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一</w:t>
      </w:r>
      <w:r>
        <w:rPr>
          <w:rFonts w:hint="eastAsia" w:ascii="宋体" w:hAnsi="宋体" w:cs="宋体"/>
          <w:b/>
          <w:bCs/>
          <w:kern w:val="0"/>
          <w:sz w:val="22"/>
          <w:szCs w:val="22"/>
          <w:lang w:eastAsia="zh-CN"/>
        </w:rPr>
        <w:t>）人员及设备配备要求</w:t>
      </w:r>
    </w:p>
    <w:p w14:paraId="66A2764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lang w:eastAsia="zh-CN"/>
        </w:rPr>
      </w:pPr>
      <w:r>
        <w:rPr>
          <w:rFonts w:hint="eastAsia" w:ascii="宋体" w:hAnsi="宋体" w:cs="宋体"/>
          <w:b w:val="0"/>
          <w:bCs w:val="0"/>
          <w:kern w:val="0"/>
          <w:sz w:val="22"/>
          <w:szCs w:val="22"/>
          <w:lang w:eastAsia="zh-CN"/>
        </w:rPr>
        <w:t>1</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lang w:eastAsia="zh-CN"/>
        </w:rPr>
        <w:t>质控单位应至少拥有1个运营支持机构，拥有质量控制实验室和系统支持实验室。须提供具有CMA资质认定的资质证明文件。</w:t>
      </w:r>
    </w:p>
    <w:p w14:paraId="34B876E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lang w:eastAsia="zh-CN"/>
        </w:rPr>
      </w:pPr>
      <w:r>
        <w:rPr>
          <w:rFonts w:hint="eastAsia" w:ascii="宋体" w:hAnsi="宋体" w:cs="宋体"/>
          <w:b w:val="0"/>
          <w:bCs w:val="0"/>
          <w:kern w:val="0"/>
          <w:sz w:val="22"/>
          <w:szCs w:val="22"/>
          <w:lang w:eastAsia="zh-CN"/>
        </w:rPr>
        <w:t>2</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lang w:eastAsia="zh-CN"/>
        </w:rPr>
        <w:t>质控单位应保证配备的专业技术人员数量与其负责日常维护的市控站点数量比值不低于1/</w:t>
      </w:r>
      <w:r>
        <w:rPr>
          <w:rFonts w:hint="eastAsia" w:ascii="宋体" w:hAnsi="宋体" w:cs="宋体"/>
          <w:b w:val="0"/>
          <w:bCs w:val="0"/>
          <w:kern w:val="0"/>
          <w:sz w:val="22"/>
          <w:szCs w:val="22"/>
          <w:lang w:val="en-US" w:eastAsia="zh-CN"/>
        </w:rPr>
        <w:t>2</w:t>
      </w:r>
      <w:r>
        <w:rPr>
          <w:rFonts w:hint="eastAsia" w:ascii="宋体" w:hAnsi="宋体" w:cs="宋体"/>
          <w:b w:val="0"/>
          <w:bCs w:val="0"/>
          <w:kern w:val="0"/>
          <w:sz w:val="22"/>
          <w:szCs w:val="22"/>
          <w:lang w:eastAsia="zh-CN"/>
        </w:rPr>
        <w:t>0（</w:t>
      </w:r>
      <w:r>
        <w:rPr>
          <w:rFonts w:hint="eastAsia" w:ascii="宋体" w:hAnsi="宋体" w:cs="宋体"/>
          <w:b w:val="0"/>
          <w:bCs w:val="0"/>
          <w:kern w:val="0"/>
          <w:sz w:val="22"/>
          <w:szCs w:val="22"/>
          <w:lang w:val="en-US" w:eastAsia="zh-CN"/>
        </w:rPr>
        <w:t>提供承诺函</w:t>
      </w:r>
      <w:r>
        <w:rPr>
          <w:rFonts w:hint="eastAsia" w:ascii="宋体" w:hAnsi="宋体" w:cs="宋体"/>
          <w:b w:val="0"/>
          <w:bCs w:val="0"/>
          <w:kern w:val="0"/>
          <w:sz w:val="22"/>
          <w:szCs w:val="22"/>
          <w:lang w:eastAsia="zh-CN"/>
        </w:rPr>
        <w:t>）。质控单位技术人员数量及技术能力应满足省控网空气站质控检查工作需求，确保每季度按时完成相关检查工作及检查内容汇总。</w:t>
      </w:r>
    </w:p>
    <w:p w14:paraId="58FE8B6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lang w:eastAsia="zh-CN"/>
        </w:rPr>
      </w:pPr>
      <w:r>
        <w:rPr>
          <w:rFonts w:hint="eastAsia" w:ascii="宋体" w:hAnsi="宋体" w:cs="宋体"/>
          <w:b w:val="0"/>
          <w:bCs w:val="0"/>
          <w:kern w:val="0"/>
          <w:sz w:val="22"/>
          <w:szCs w:val="22"/>
          <w:lang w:val="en-US" w:eastAsia="zh-CN"/>
        </w:rPr>
        <w:t>3.</w:t>
      </w:r>
      <w:r>
        <w:rPr>
          <w:rFonts w:hint="eastAsia" w:ascii="宋体" w:hAnsi="宋体" w:cs="宋体"/>
          <w:b w:val="0"/>
          <w:bCs w:val="0"/>
          <w:kern w:val="0"/>
          <w:sz w:val="22"/>
          <w:szCs w:val="22"/>
          <w:lang w:eastAsia="zh-CN"/>
        </w:rPr>
        <w:t>质控检查单位应安排至少</w:t>
      </w:r>
      <w:r>
        <w:rPr>
          <w:rFonts w:hint="eastAsia" w:ascii="宋体" w:hAnsi="宋体" w:cs="宋体"/>
          <w:b w:val="0"/>
          <w:bCs w:val="0"/>
          <w:kern w:val="0"/>
          <w:sz w:val="22"/>
          <w:szCs w:val="22"/>
          <w:lang w:val="en-US" w:eastAsia="zh-CN"/>
        </w:rPr>
        <w:t>2</w:t>
      </w:r>
      <w:r>
        <w:rPr>
          <w:rFonts w:hint="eastAsia" w:ascii="宋体" w:hAnsi="宋体" w:cs="宋体"/>
          <w:b w:val="0"/>
          <w:bCs w:val="0"/>
          <w:kern w:val="0"/>
          <w:sz w:val="22"/>
          <w:szCs w:val="22"/>
          <w:lang w:eastAsia="zh-CN"/>
        </w:rPr>
        <w:t>名持证人员驻市站，开展</w:t>
      </w:r>
      <w:r>
        <w:rPr>
          <w:rFonts w:hint="eastAsia" w:ascii="宋体" w:hAnsi="宋体" w:cs="宋体"/>
          <w:b w:val="0"/>
          <w:bCs w:val="0"/>
          <w:kern w:val="0"/>
          <w:sz w:val="22"/>
          <w:szCs w:val="22"/>
          <w:lang w:val="en-US" w:eastAsia="zh-CN"/>
        </w:rPr>
        <w:t>113个空气站</w:t>
      </w:r>
      <w:r>
        <w:rPr>
          <w:rFonts w:hint="eastAsia" w:ascii="宋体" w:hAnsi="宋体" w:cs="宋体"/>
          <w:b w:val="0"/>
          <w:bCs w:val="0"/>
          <w:kern w:val="0"/>
          <w:sz w:val="22"/>
          <w:szCs w:val="22"/>
          <w:lang w:eastAsia="zh-CN"/>
        </w:rPr>
        <w:t>运维质控考核，每日负责对监测数据进行复核及终审工作，复核汇总异常站点巡检情况，并出具质控检查报告。</w:t>
      </w:r>
    </w:p>
    <w:p w14:paraId="1CFC942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lang w:eastAsia="zh-CN"/>
        </w:rPr>
      </w:pPr>
      <w:r>
        <w:rPr>
          <w:rFonts w:hint="eastAsia" w:ascii="宋体" w:hAnsi="宋体" w:cs="宋体"/>
          <w:b w:val="0"/>
          <w:bCs w:val="0"/>
          <w:kern w:val="0"/>
          <w:sz w:val="22"/>
          <w:szCs w:val="22"/>
          <w:lang w:val="en-US" w:eastAsia="zh-CN"/>
        </w:rPr>
        <w:t>4.</w:t>
      </w:r>
      <w:r>
        <w:rPr>
          <w:rFonts w:hint="eastAsia" w:ascii="宋体" w:hAnsi="宋体" w:cs="宋体"/>
          <w:b w:val="0"/>
          <w:bCs w:val="0"/>
          <w:kern w:val="0"/>
          <w:sz w:val="22"/>
          <w:szCs w:val="22"/>
          <w:lang w:eastAsia="zh-CN"/>
        </w:rPr>
        <w:t>质控单位应配备专用巡检车辆</w:t>
      </w:r>
      <w:r>
        <w:rPr>
          <w:rFonts w:hint="eastAsia" w:ascii="宋体" w:hAnsi="宋体" w:cs="宋体"/>
          <w:b w:val="0"/>
          <w:bCs w:val="0"/>
          <w:kern w:val="0"/>
          <w:sz w:val="22"/>
          <w:szCs w:val="22"/>
          <w:lang w:val="en-US" w:eastAsia="zh-CN"/>
        </w:rPr>
        <w:t>不少于</w:t>
      </w:r>
      <w:r>
        <w:rPr>
          <w:rFonts w:hint="eastAsia" w:ascii="宋体" w:hAnsi="宋体" w:cs="宋体"/>
          <w:b w:val="0"/>
          <w:bCs w:val="0"/>
          <w:kern w:val="0"/>
          <w:sz w:val="22"/>
          <w:szCs w:val="22"/>
          <w:lang w:eastAsia="zh-CN"/>
        </w:rPr>
        <w:t>3辆。</w:t>
      </w:r>
    </w:p>
    <w:p w14:paraId="4EECF398">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lang w:eastAsia="zh-CN"/>
        </w:rPr>
      </w:pPr>
      <w:r>
        <w:rPr>
          <w:rFonts w:hint="eastAsia" w:ascii="宋体" w:hAnsi="宋体" w:cs="宋体"/>
          <w:b w:val="0"/>
          <w:bCs w:val="0"/>
          <w:kern w:val="0"/>
          <w:sz w:val="22"/>
          <w:szCs w:val="22"/>
          <w:lang w:val="en-US" w:eastAsia="zh-CN"/>
        </w:rPr>
        <w:t>5.</w:t>
      </w:r>
      <w:r>
        <w:rPr>
          <w:rFonts w:hint="eastAsia" w:ascii="宋体" w:hAnsi="宋体" w:cs="宋体"/>
          <w:b w:val="0"/>
          <w:bCs w:val="0"/>
          <w:kern w:val="0"/>
          <w:sz w:val="22"/>
          <w:szCs w:val="22"/>
          <w:lang w:eastAsia="zh-CN"/>
        </w:rPr>
        <w:t>质控单位须配备必要的质量检查设备和耗材，主要包括：标准气体、流量计（大、小流量）、温湿度计、气压计、臭氧校准仪各2台套。设备须通过鉴定或校准，并提供在有效期内的鉴定或校准证书（臭氧校准仪须溯源至国家环保最高臭氧计量标准）等。</w:t>
      </w:r>
    </w:p>
    <w:p w14:paraId="1122A18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lang w:eastAsia="zh-CN"/>
        </w:rPr>
      </w:pPr>
      <w:r>
        <w:rPr>
          <w:rFonts w:hint="eastAsia" w:ascii="宋体" w:hAnsi="宋体" w:cs="宋体"/>
          <w:b w:val="0"/>
          <w:bCs w:val="0"/>
          <w:kern w:val="0"/>
          <w:sz w:val="22"/>
          <w:szCs w:val="22"/>
          <w:lang w:val="en-US" w:eastAsia="zh-CN"/>
        </w:rPr>
        <w:t>6.</w:t>
      </w:r>
      <w:r>
        <w:rPr>
          <w:rFonts w:hint="eastAsia" w:ascii="宋体" w:hAnsi="宋体" w:cs="宋体"/>
          <w:b w:val="0"/>
          <w:bCs w:val="0"/>
          <w:kern w:val="0"/>
          <w:sz w:val="22"/>
          <w:szCs w:val="22"/>
          <w:lang w:eastAsia="zh-CN"/>
        </w:rPr>
        <w:t>质控单位须配置不少于1套符合国家现有空气自动监测技术规范经过适应性检验的标准6参数自动监测系统（监测项目包含PM 10、PM2.5、SO2、NO2、O3、CO及气象5参数），并且必须配备适宜的供电、通讯和载具，确保随时可以对数据异常站点开展连续比对监测核查。须提供库存设备清单（包括但不限于设备品名、品牌、型号、数量、来源等）。</w:t>
      </w:r>
    </w:p>
    <w:p w14:paraId="1A911C2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lang w:eastAsia="zh-CN"/>
        </w:rPr>
      </w:pPr>
      <w:r>
        <w:rPr>
          <w:rFonts w:hint="eastAsia" w:ascii="宋体" w:hAnsi="宋体" w:cs="宋体"/>
          <w:b w:val="0"/>
          <w:bCs w:val="0"/>
          <w:kern w:val="0"/>
          <w:sz w:val="22"/>
          <w:szCs w:val="22"/>
          <w:lang w:val="en-US" w:eastAsia="zh-CN"/>
        </w:rPr>
        <w:t>7.</w:t>
      </w:r>
      <w:r>
        <w:rPr>
          <w:rFonts w:hint="eastAsia" w:ascii="宋体" w:hAnsi="宋体" w:cs="宋体"/>
          <w:b w:val="0"/>
          <w:bCs w:val="0"/>
          <w:kern w:val="0"/>
          <w:sz w:val="22"/>
          <w:szCs w:val="22"/>
          <w:lang w:eastAsia="zh-CN"/>
        </w:rPr>
        <w:t>质控单位技术人员数量及技术能力应满足市控网空气站质控检查工作需求，确保每季度按时完成相关检查工作及检查内容汇总。</w:t>
      </w:r>
    </w:p>
    <w:p w14:paraId="5F3B203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lang w:eastAsia="zh-CN"/>
        </w:rPr>
        <w:t>中标方需配备充足人员、车辆和检查器具，合同签订后1个月内，须将上述要求的配置报送市</w:t>
      </w:r>
      <w:r>
        <w:rPr>
          <w:rFonts w:hint="eastAsia" w:ascii="宋体" w:hAnsi="宋体" w:cs="宋体"/>
          <w:b w:val="0"/>
          <w:bCs w:val="0"/>
          <w:kern w:val="0"/>
          <w:sz w:val="22"/>
          <w:szCs w:val="22"/>
        </w:rPr>
        <w:t>。</w:t>
      </w:r>
    </w:p>
    <w:p w14:paraId="79D8CDDC">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lang w:eastAsia="zh-CN"/>
        </w:rPr>
        <w:t>（</w:t>
      </w:r>
      <w:r>
        <w:rPr>
          <w:rFonts w:hint="eastAsia" w:ascii="宋体" w:hAnsi="宋体" w:cs="宋体"/>
          <w:b/>
          <w:bCs/>
          <w:kern w:val="0"/>
          <w:sz w:val="22"/>
          <w:szCs w:val="22"/>
          <w:lang w:val="en-US" w:eastAsia="zh-CN"/>
        </w:rPr>
        <w:t>二</w:t>
      </w:r>
      <w:r>
        <w:rPr>
          <w:rFonts w:hint="eastAsia" w:ascii="宋体" w:hAnsi="宋体" w:cs="宋体"/>
          <w:b/>
          <w:bCs/>
          <w:kern w:val="0"/>
          <w:sz w:val="22"/>
          <w:szCs w:val="22"/>
          <w:lang w:eastAsia="zh-CN"/>
        </w:rPr>
        <w:t>）</w:t>
      </w:r>
      <w:r>
        <w:rPr>
          <w:rFonts w:hint="eastAsia" w:ascii="宋体" w:hAnsi="宋体" w:cs="宋体"/>
          <w:b/>
          <w:bCs/>
          <w:kern w:val="0"/>
          <w:sz w:val="22"/>
          <w:szCs w:val="22"/>
        </w:rPr>
        <w:t>售后服务及培训要求</w:t>
      </w:r>
    </w:p>
    <w:p w14:paraId="068C541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1</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乙方负责办理与原建设</w:t>
      </w:r>
      <w:r>
        <w:rPr>
          <w:rFonts w:hint="eastAsia" w:ascii="宋体" w:hAnsi="宋体" w:cs="宋体"/>
          <w:b w:val="0"/>
          <w:bCs w:val="0"/>
          <w:kern w:val="0"/>
          <w:sz w:val="22"/>
          <w:szCs w:val="22"/>
          <w:lang w:val="en-US" w:eastAsia="zh-CN"/>
        </w:rPr>
        <w:t>质控</w:t>
      </w:r>
      <w:r>
        <w:rPr>
          <w:rFonts w:hint="eastAsia" w:ascii="宋体" w:hAnsi="宋体" w:cs="宋体"/>
          <w:b w:val="0"/>
          <w:bCs w:val="0"/>
          <w:kern w:val="0"/>
          <w:sz w:val="22"/>
          <w:szCs w:val="22"/>
        </w:rPr>
        <w:t>单位的交接手续，确认所</w:t>
      </w:r>
      <w:r>
        <w:rPr>
          <w:rFonts w:hint="eastAsia" w:ascii="宋体" w:hAnsi="宋体" w:cs="宋体"/>
          <w:b w:val="0"/>
          <w:bCs w:val="0"/>
          <w:kern w:val="0"/>
          <w:sz w:val="22"/>
          <w:szCs w:val="22"/>
          <w:lang w:val="en-US" w:eastAsia="zh-CN"/>
        </w:rPr>
        <w:t>质控</w:t>
      </w:r>
      <w:r>
        <w:rPr>
          <w:rFonts w:hint="eastAsia" w:ascii="宋体" w:hAnsi="宋体" w:cs="宋体"/>
          <w:b w:val="0"/>
          <w:bCs w:val="0"/>
          <w:kern w:val="0"/>
          <w:sz w:val="22"/>
          <w:szCs w:val="22"/>
        </w:rPr>
        <w:t>设备数量及性 能完好，并做好交接登记等工作。确保监测数据不间断运行，运维工作严格按照 技术要求的工作内容进行。</w:t>
      </w:r>
    </w:p>
    <w:p w14:paraId="19FD1CA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2</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乙方负责将耗材备机等运抵采购单位指定服务地点，并完成与本项目</w:t>
      </w:r>
      <w:r>
        <w:rPr>
          <w:rFonts w:hint="eastAsia" w:ascii="宋体" w:hAnsi="宋体" w:cs="宋体"/>
          <w:b w:val="0"/>
          <w:bCs w:val="0"/>
          <w:kern w:val="0"/>
          <w:sz w:val="22"/>
          <w:szCs w:val="22"/>
          <w:lang w:val="en-US" w:eastAsia="zh-CN"/>
        </w:rPr>
        <w:t>质控</w:t>
      </w:r>
      <w:r>
        <w:rPr>
          <w:rFonts w:hint="eastAsia" w:ascii="宋体" w:hAnsi="宋体" w:cs="宋体"/>
          <w:b w:val="0"/>
          <w:bCs w:val="0"/>
          <w:kern w:val="0"/>
          <w:sz w:val="22"/>
          <w:szCs w:val="22"/>
        </w:rPr>
        <w:t>有关的全部工作。凡人员车辆保险、税金、耗材备机的包装运输、仪器设备的 运维调试、相关技术培训、售后服务、设备系统技术升级等，所有费用一次性计 入投标总价。</w:t>
      </w:r>
    </w:p>
    <w:p w14:paraId="3EF14738">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 w:val="0"/>
          <w:bCs w:val="0"/>
          <w:kern w:val="0"/>
          <w:sz w:val="22"/>
          <w:szCs w:val="22"/>
        </w:rPr>
      </w:pPr>
      <w:r>
        <w:rPr>
          <w:rFonts w:hint="eastAsia" w:ascii="宋体" w:hAnsi="宋体" w:cs="宋体"/>
          <w:b w:val="0"/>
          <w:bCs w:val="0"/>
          <w:kern w:val="0"/>
          <w:sz w:val="22"/>
          <w:szCs w:val="22"/>
        </w:rPr>
        <w:t>3</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乙方提供的耗材备机等在运至甲方指定地点时，包装运输满足《关于印  发&lt;商品包装政府采购需求标准(试行)&gt;《快递包装政府采购需求标准(试行)&gt;》 (财办库〔2020)123号〕要求，采用绿色包装和绿色运输。包装运输应采取防  潮、防晒、防锈、防腐蚀、防震动及防止其它损坏的必要保护措施，从而保护货物能够经受多次搬运、装卸及长途运输。乙方应承担由于其包装或防护措施不妥 而引起的货物锈蚀、损坏和丢失等任何损失造成的责任或费用。</w:t>
      </w:r>
    </w:p>
    <w:p w14:paraId="6F388691">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 w:val="0"/>
          <w:bCs w:val="0"/>
          <w:kern w:val="0"/>
          <w:sz w:val="22"/>
          <w:szCs w:val="22"/>
        </w:rPr>
      </w:pPr>
      <w:r>
        <w:rPr>
          <w:rFonts w:hint="eastAsia" w:ascii="宋体" w:hAnsi="宋体" w:cs="宋体"/>
          <w:b w:val="0"/>
          <w:bCs w:val="0"/>
          <w:kern w:val="0"/>
          <w:sz w:val="22"/>
          <w:szCs w:val="22"/>
        </w:rPr>
        <w:t>4</w:t>
      </w:r>
      <w:r>
        <w:rPr>
          <w:rFonts w:hint="eastAsia" w:ascii="宋体" w:hAnsi="宋体" w:cs="宋体"/>
          <w:b w:val="0"/>
          <w:bCs w:val="0"/>
          <w:kern w:val="0"/>
          <w:sz w:val="22"/>
          <w:szCs w:val="22"/>
          <w:lang w:val="en-US" w:eastAsia="zh-CN"/>
        </w:rPr>
        <w:t>.</w:t>
      </w:r>
      <w:r>
        <w:rPr>
          <w:rFonts w:hint="eastAsia" w:ascii="宋体" w:hAnsi="宋体" w:cs="宋体"/>
          <w:b w:val="0"/>
          <w:bCs w:val="0"/>
          <w:kern w:val="0"/>
          <w:sz w:val="22"/>
          <w:szCs w:val="22"/>
        </w:rPr>
        <w:t>乙方须免费提供具体可行的技术培训服务。</w:t>
      </w:r>
    </w:p>
    <w:p w14:paraId="0FCB258F">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b w:val="0"/>
          <w:bCs w:val="0"/>
          <w:kern w:val="0"/>
          <w:sz w:val="22"/>
          <w:szCs w:val="22"/>
        </w:rPr>
      </w:pPr>
      <w:r>
        <w:rPr>
          <w:rFonts w:hint="eastAsia" w:ascii="宋体" w:hAnsi="宋体" w:cs="宋体"/>
          <w:b w:val="0"/>
          <w:bCs w:val="0"/>
          <w:kern w:val="0"/>
          <w:sz w:val="22"/>
          <w:szCs w:val="22"/>
        </w:rPr>
        <w:t>(1)培训地点：甲方指定地点；</w:t>
      </w:r>
    </w:p>
    <w:p w14:paraId="0BEF80E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(2)培训对象：甲方指定的技术人员及管理人员；</w:t>
      </w:r>
    </w:p>
    <w:p w14:paraId="6DEFE66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(3)培训人数及时间：由甲方根据项目进度决定；</w:t>
      </w:r>
    </w:p>
    <w:p w14:paraId="6D9EDE9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(4)培训内容：操作原理、操作维护方法、排除故障等各个方面；</w:t>
      </w:r>
    </w:p>
    <w:p w14:paraId="5AE3DE53">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(5)培训目的：熟练操作设备及系统、能够排除一般故障；</w:t>
      </w:r>
    </w:p>
    <w:p w14:paraId="745E0D87">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val="0"/>
          <w:kern w:val="0"/>
          <w:sz w:val="22"/>
          <w:szCs w:val="22"/>
        </w:rPr>
      </w:pPr>
      <w:r>
        <w:rPr>
          <w:rFonts w:hint="eastAsia" w:ascii="宋体" w:hAnsi="宋体" w:cs="宋体"/>
          <w:b w:val="0"/>
          <w:bCs w:val="0"/>
          <w:kern w:val="0"/>
          <w:sz w:val="22"/>
          <w:szCs w:val="22"/>
        </w:rPr>
        <w:t>(6)售后响应时间：接到甲方售后要求后，2小时内响应，4小时内给出 解决方案，8小时内安排专人到达现场，12小时内解决问题。</w:t>
      </w:r>
    </w:p>
    <w:p w14:paraId="66F428C0">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lang w:val="en-US" w:eastAsia="zh-CN"/>
        </w:rPr>
        <w:t>六</w:t>
      </w:r>
      <w:r>
        <w:rPr>
          <w:rFonts w:hint="eastAsia" w:ascii="宋体" w:hAnsi="宋体" w:cs="宋体"/>
          <w:b/>
          <w:bCs/>
          <w:kern w:val="0"/>
          <w:sz w:val="22"/>
          <w:szCs w:val="22"/>
        </w:rPr>
        <w:t>、技术资料</w:t>
      </w:r>
    </w:p>
    <w:p w14:paraId="7ABDF01A">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1.知识产权归属</w:t>
      </w:r>
    </w:p>
    <w:p w14:paraId="04A54E92">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(1)乙方向甲方提交的成果以及乙方在本项目服务过程中形成的专利、秘密 信息、技术资料和文件的知识产权归甲方单独所有。乙方在本合同签署之前已经  拥有的知识产权和乙方按照本合同约定使用的第三方的知识产权以及通用科学  技术方法除外。(2)除非甲方书面同意，乙方不得以任何方式向第三方披露、转让和许可有 关的数据、秘密信息、技术资料、文件等。</w:t>
      </w:r>
    </w:p>
    <w:p w14:paraId="5F03D64C">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(3)除本项目服务需要之外，未得到甲方的书面许可，乙方不得以任何方式 商业性地利用上述资料和技术。</w:t>
      </w:r>
    </w:p>
    <w:p w14:paraId="7E37C6A9">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drawing>
          <wp:anchor distT="0" distB="0" distL="0" distR="0" simplePos="0" relativeHeight="251661312" behindDoc="1" locked="0" layoutInCell="1" allowOverlap="1">
            <wp:simplePos x="0" y="0"/>
            <wp:positionH relativeFrom="column">
              <wp:posOffset>6249035</wp:posOffset>
            </wp:positionH>
            <wp:positionV relativeFrom="paragraph">
              <wp:posOffset>645795</wp:posOffset>
            </wp:positionV>
            <wp:extent cx="147955" cy="1441450"/>
            <wp:effectExtent l="0" t="0" r="4445" b="6350"/>
            <wp:wrapNone/>
            <wp:docPr id="1" name="IM 24"/>
            <wp:cNvGraphicFramePr/>
            <a:graphic xmlns:a="http://schemas.openxmlformats.org/drawingml/2006/main">
              <a:graphicData uri="http://schemas.openxmlformats.org/drawingml/2006/picture">
                <pic:pic xmlns:pic="http://schemas.openxmlformats.org/drawingml/2006/picture">
                  <pic:nvPicPr>
                    <pic:cNvPr id="1" name="IM 24"/>
                    <pic:cNvPicPr/>
                  </pic:nvPicPr>
                  <pic:blipFill>
                    <a:blip r:embed="rId4"/>
                    <a:stretch>
                      <a:fillRect/>
                    </a:stretch>
                  </pic:blipFill>
                  <pic:spPr>
                    <a:xfrm>
                      <a:off x="0" y="0"/>
                      <a:ext cx="147646" cy="1441739"/>
                    </a:xfrm>
                    <a:prstGeom prst="rect">
                      <a:avLst/>
                    </a:prstGeom>
                  </pic:spPr>
                </pic:pic>
              </a:graphicData>
            </a:graphic>
          </wp:anchor>
        </w:drawing>
      </w:r>
      <w:r>
        <w:rPr>
          <w:rFonts w:hint="eastAsia" w:ascii="宋体" w:hAnsi="宋体" w:cs="宋体"/>
          <w:b w:val="0"/>
          <w:bCs/>
          <w:kern w:val="0"/>
          <w:sz w:val="22"/>
          <w:szCs w:val="22"/>
          <w:lang w:val="en-US" w:eastAsia="zh-CN"/>
        </w:rPr>
        <w:t>2.禁止对第三方造成侵权乙方应当保证其提供的成果及服务过程不侵害任 何第三方的知识产权。如乙方需要使用第三方的知识产权，应当在使用前合法的 获得使用该等知识产权的许可，并在获得许可后7日内将相关协议及许可文件复 印件报甲方备案。乙方为本合同履行之目的使用自身或第三方知识产权的费用已 包含在合同价款中，甲方不再另行支付。</w:t>
      </w:r>
    </w:p>
    <w:p w14:paraId="1762FCF4">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3.乙方保证甲方及甲方授权代表能够合法地使用乙方提供的成果。如果任 何第三人因甲方及甲方授权代表使用成果提出有关知识产权的任何索赔或要求  的，由此给甲方造成的一切损失由乙方承担(包括但不限于赔偿、补偿、诉讼费、 仲裁费用、律师费、甲方的其他损失等)。</w:t>
      </w:r>
    </w:p>
    <w:p w14:paraId="092E78AA">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4.本合同条款的规定不因本合同的到期而失效。</w:t>
      </w:r>
    </w:p>
    <w:p w14:paraId="5AEEC45C">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5.本合同约定的知识产权条款若有争议，均以中华人民共和国相关法律规 定为准。</w:t>
      </w:r>
    </w:p>
    <w:p w14:paraId="5C8F9F55">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6.技术文件均应按“技术部分”要求提交并经甲方确认。</w:t>
      </w:r>
    </w:p>
    <w:p w14:paraId="55C4C243">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7.乙方应承担甲方完全按照技术文件的指导进行工作而导致损失的责任。</w:t>
      </w:r>
    </w:p>
    <w:p w14:paraId="2A86FF27">
      <w:pPr>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lang w:val="en-US" w:eastAsia="zh-CN"/>
        </w:rPr>
      </w:pPr>
      <w:r>
        <w:rPr>
          <w:rFonts w:hint="eastAsia" w:ascii="宋体" w:hAnsi="宋体" w:cs="宋体"/>
          <w:b w:val="0"/>
          <w:bCs/>
          <w:kern w:val="0"/>
          <w:sz w:val="22"/>
          <w:szCs w:val="22"/>
          <w:lang w:val="en-US" w:eastAsia="zh-CN"/>
        </w:rPr>
        <w:t>8.技术文件的全部费用已包含在合同价中。</w:t>
      </w:r>
    </w:p>
    <w:p w14:paraId="37FC8556">
      <w:pPr>
        <w:tabs>
          <w:tab w:val="left" w:pos="0"/>
          <w:tab w:val="left" w:pos="437"/>
          <w:tab w:val="left" w:pos="1311"/>
        </w:tabs>
        <w:adjustRightInd w:val="0"/>
        <w:snapToGrid w:val="0"/>
        <w:spacing w:line="360" w:lineRule="auto"/>
        <w:ind w:firstLine="442" w:firstLineChars="200"/>
        <w:jc w:val="left"/>
        <w:rPr>
          <w:rFonts w:hint="eastAsia" w:ascii="宋体" w:hAnsi="宋体" w:cs="宋体"/>
          <w:kern w:val="0"/>
          <w:sz w:val="22"/>
          <w:szCs w:val="22"/>
        </w:rPr>
      </w:pPr>
      <w:r>
        <w:rPr>
          <w:rFonts w:hint="eastAsia" w:ascii="宋体" w:hAnsi="宋体" w:cs="宋体"/>
          <w:b/>
          <w:kern w:val="0"/>
          <w:sz w:val="22"/>
          <w:szCs w:val="22"/>
          <w:lang w:val="en-US" w:eastAsia="zh-CN"/>
        </w:rPr>
        <w:t>七</w:t>
      </w:r>
      <w:r>
        <w:rPr>
          <w:rFonts w:hint="eastAsia" w:ascii="宋体" w:hAnsi="宋体" w:cs="宋体"/>
          <w:b/>
          <w:kern w:val="0"/>
          <w:sz w:val="22"/>
          <w:szCs w:val="22"/>
        </w:rPr>
        <w:t>、验 收</w:t>
      </w:r>
    </w:p>
    <w:p w14:paraId="5D84CC4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1.乙方应对数据报告作出全面自查和整理，并列出清单，作为甲方验收和使用的服务条件依据，清单应随提供的服务成果交给甲方。</w:t>
      </w:r>
    </w:p>
    <w:p w14:paraId="666A2F2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 xml:space="preserve">2.验收时，甲乙双方必须同时在场，乙方所提供的服务不符合合同内容规定的，甲方有权拒绝验收。乙方应及时按本合同内容规定和甲方要求免费进行整改，直至验收合格，方视为乙方按本合同规定完成服务。验收合格的，由双方共同签署《验收报告》。在经过两次限期整改后，服务仍达不到合同文件规定内容的，甲方有权拒收，并可以解除合同；由此引起甲方损失及赔偿责任由乙方承担。 </w:t>
      </w:r>
    </w:p>
    <w:p w14:paraId="0DE41266">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3.甲方可以视项目规模或复杂情况聘请专业人员参与验收，大型或复杂项目，以及涉及专业服务内容的应当邀请国家认可的第三方质量检测机构参与验收。</w:t>
      </w:r>
    </w:p>
    <w:p w14:paraId="3751E40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4.如根据项目实施情况需要分阶段验收，则双方分阶段签署《验收报告》。</w:t>
      </w:r>
    </w:p>
    <w:p w14:paraId="66BD4DDD">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5.如果合同双方对《验收报告》有分歧，双方须于出现分歧后7天内给对方书面声明，以陈述己方的理由及要求，并附有关证据。分歧应通过协商解决。</w:t>
      </w:r>
    </w:p>
    <w:p w14:paraId="153FE95D">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lang w:val="en-US" w:eastAsia="zh-CN"/>
        </w:rPr>
        <w:t>八</w:t>
      </w:r>
      <w:r>
        <w:rPr>
          <w:rFonts w:hint="eastAsia" w:ascii="宋体" w:hAnsi="宋体" w:cs="宋体"/>
          <w:b/>
          <w:bCs/>
          <w:kern w:val="0"/>
          <w:sz w:val="22"/>
          <w:szCs w:val="22"/>
        </w:rPr>
        <w:t>、转让或分包</w:t>
      </w:r>
    </w:p>
    <w:p w14:paraId="5FB9D4B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1.本合同范围的项目服务内容，应由乙方直接服务，不得整体转让他人。</w:t>
      </w:r>
    </w:p>
    <w:p w14:paraId="1AB883E0">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Cs/>
          <w:kern w:val="0"/>
          <w:sz w:val="22"/>
          <w:szCs w:val="22"/>
        </w:rPr>
      </w:pPr>
      <w:r>
        <w:rPr>
          <w:rFonts w:hint="eastAsia" w:ascii="宋体" w:hAnsi="宋体" w:cs="宋体"/>
          <w:bCs/>
          <w:kern w:val="0"/>
          <w:sz w:val="22"/>
          <w:szCs w:val="22"/>
        </w:rPr>
        <w:t>2.如有整体转让和未经采购人同意的分包行为，采购人有权解除合同，并要求中标人根据采购人的直接损失，部分或全部退还采购人已支付的报酬。</w:t>
      </w:r>
    </w:p>
    <w:p w14:paraId="5288F52A">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kern w:val="0"/>
          <w:sz w:val="22"/>
          <w:szCs w:val="22"/>
        </w:rPr>
      </w:pPr>
      <w:r>
        <w:rPr>
          <w:rFonts w:hint="eastAsia" w:ascii="宋体" w:hAnsi="宋体" w:cs="宋体"/>
          <w:b/>
          <w:kern w:val="0"/>
          <w:sz w:val="22"/>
          <w:szCs w:val="22"/>
          <w:lang w:val="en-US" w:eastAsia="zh-CN"/>
        </w:rPr>
        <w:t>九</w:t>
      </w:r>
      <w:r>
        <w:rPr>
          <w:rFonts w:hint="eastAsia" w:ascii="宋体" w:hAnsi="宋体" w:cs="宋体"/>
          <w:b/>
          <w:kern w:val="0"/>
          <w:sz w:val="22"/>
          <w:szCs w:val="22"/>
        </w:rPr>
        <w:t>、甲方的权利及义务</w:t>
      </w:r>
    </w:p>
    <w:p w14:paraId="42F560C3">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1.</w:t>
      </w:r>
      <w:r>
        <w:rPr>
          <w:rFonts w:hint="eastAsia" w:ascii="宋体" w:hAnsi="宋体" w:cs="宋体"/>
          <w:b w:val="0"/>
          <w:bCs/>
          <w:kern w:val="0"/>
          <w:sz w:val="22"/>
          <w:szCs w:val="22"/>
        </w:rPr>
        <w:t>甲方有权要求乙方服务的项目内容符合行业、省级相关单位、国家相 关部委的标准。</w:t>
      </w:r>
    </w:p>
    <w:p w14:paraId="0DD3F4CC">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2.</w:t>
      </w:r>
      <w:r>
        <w:rPr>
          <w:rFonts w:hint="eastAsia" w:ascii="宋体" w:hAnsi="宋体" w:cs="宋体"/>
          <w:b w:val="0"/>
          <w:bCs/>
          <w:kern w:val="0"/>
          <w:sz w:val="22"/>
          <w:szCs w:val="22"/>
        </w:rPr>
        <w:t>甲方有权要求乙方配合甲方完成所采购服务的验收等工作。</w:t>
      </w:r>
    </w:p>
    <w:p w14:paraId="3FE0D2A9">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3.</w:t>
      </w:r>
      <w:r>
        <w:rPr>
          <w:rFonts w:hint="eastAsia" w:ascii="宋体" w:hAnsi="宋体" w:cs="宋体"/>
          <w:b w:val="0"/>
          <w:bCs/>
          <w:kern w:val="0"/>
          <w:sz w:val="22"/>
          <w:szCs w:val="22"/>
        </w:rPr>
        <w:t>甲方有权监督乙方运维服务的情况，并有权要求乙方对其提供的服务 或其委托的第三方服务承担全部责任。如发生乙方服务不符合本合同约定的，甲 方有权以书面形式通报乙方履约情况，并有权扣减乙方的合同价款。</w:t>
      </w:r>
    </w:p>
    <w:p w14:paraId="78E3F802">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4.</w:t>
      </w:r>
      <w:r>
        <w:rPr>
          <w:rFonts w:hint="eastAsia" w:ascii="宋体" w:hAnsi="宋体" w:cs="宋体"/>
          <w:b w:val="0"/>
          <w:bCs/>
          <w:kern w:val="0"/>
          <w:sz w:val="22"/>
          <w:szCs w:val="22"/>
        </w:rPr>
        <w:t>甲方有义务保证按合同所规定的内容及时间支付乙方相关费用。</w:t>
      </w:r>
    </w:p>
    <w:p w14:paraId="50354BEF">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5.</w:t>
      </w:r>
      <w:r>
        <w:rPr>
          <w:rFonts w:hint="eastAsia" w:ascii="宋体" w:hAnsi="宋体" w:cs="宋体"/>
          <w:b w:val="0"/>
          <w:bCs/>
          <w:kern w:val="0"/>
          <w:sz w:val="22"/>
          <w:szCs w:val="22"/>
        </w:rPr>
        <w:t>甲方有权按本合同服务周期要求乙方完成所有相关切服务。</w:t>
      </w:r>
    </w:p>
    <w:p w14:paraId="1737FA30">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kern w:val="0"/>
          <w:sz w:val="22"/>
          <w:szCs w:val="22"/>
        </w:rPr>
      </w:pPr>
      <w:r>
        <w:rPr>
          <w:rFonts w:hint="eastAsia" w:ascii="宋体" w:hAnsi="宋体" w:cs="宋体"/>
          <w:b/>
          <w:kern w:val="0"/>
          <w:sz w:val="22"/>
          <w:szCs w:val="22"/>
          <w:lang w:val="en-US" w:eastAsia="zh-CN"/>
        </w:rPr>
        <w:t>十</w:t>
      </w:r>
      <w:r>
        <w:rPr>
          <w:rFonts w:hint="eastAsia" w:ascii="宋体" w:hAnsi="宋体" w:cs="宋体"/>
          <w:b/>
          <w:kern w:val="0"/>
          <w:sz w:val="22"/>
          <w:szCs w:val="22"/>
        </w:rPr>
        <w:t>、乙方的权利及义务</w:t>
      </w:r>
    </w:p>
    <w:p w14:paraId="6FB5266B">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1.</w:t>
      </w:r>
      <w:r>
        <w:rPr>
          <w:rFonts w:hint="eastAsia" w:ascii="宋体" w:hAnsi="宋体" w:cs="宋体"/>
          <w:b w:val="0"/>
          <w:bCs/>
          <w:kern w:val="0"/>
          <w:sz w:val="22"/>
          <w:szCs w:val="22"/>
        </w:rPr>
        <w:t>乙方应按本合同的规定完成运维服务，及时对设备故障进行响应，并 负担更换故障设备及配套设施的维修工作，并保证顺利进行。</w:t>
      </w:r>
    </w:p>
    <w:p w14:paraId="179A5FF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2.</w:t>
      </w:r>
      <w:r>
        <w:rPr>
          <w:rFonts w:hint="eastAsia" w:ascii="宋体" w:hAnsi="宋体" w:cs="宋体"/>
          <w:b w:val="0"/>
          <w:bCs/>
          <w:kern w:val="0"/>
          <w:sz w:val="22"/>
          <w:szCs w:val="22"/>
        </w:rPr>
        <w:t>乙方有权要求甲方提供必要的文件材料支持。</w:t>
      </w:r>
    </w:p>
    <w:p w14:paraId="7C3B568A">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3.</w:t>
      </w:r>
      <w:r>
        <w:rPr>
          <w:rFonts w:hint="eastAsia" w:ascii="宋体" w:hAnsi="宋体" w:cs="宋体"/>
          <w:b w:val="0"/>
          <w:bCs/>
          <w:kern w:val="0"/>
          <w:sz w:val="22"/>
          <w:szCs w:val="22"/>
        </w:rPr>
        <w:t>乙方有义务确保所服务项目内容符合本项目质量标准。</w:t>
      </w:r>
    </w:p>
    <w:p w14:paraId="382EA825">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4.</w:t>
      </w:r>
      <w:r>
        <w:rPr>
          <w:rFonts w:hint="eastAsia" w:ascii="宋体" w:hAnsi="宋体" w:cs="宋体"/>
          <w:b w:val="0"/>
          <w:bCs/>
          <w:kern w:val="0"/>
          <w:sz w:val="22"/>
          <w:szCs w:val="22"/>
        </w:rPr>
        <w:t>在验收时，向甲方提供相关技术文件。</w:t>
      </w:r>
    </w:p>
    <w:p w14:paraId="3150D33E">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b w:val="0"/>
          <w:bCs/>
          <w:kern w:val="0"/>
          <w:sz w:val="22"/>
          <w:szCs w:val="22"/>
        </w:rPr>
      </w:pPr>
      <w:r>
        <w:rPr>
          <w:rFonts w:hint="eastAsia" w:ascii="宋体" w:hAnsi="宋体" w:cs="宋体"/>
          <w:b w:val="0"/>
          <w:bCs/>
          <w:kern w:val="0"/>
          <w:sz w:val="22"/>
          <w:szCs w:val="22"/>
          <w:lang w:val="en-US" w:eastAsia="zh-CN"/>
        </w:rPr>
        <w:t>5.</w:t>
      </w:r>
      <w:r>
        <w:rPr>
          <w:rFonts w:hint="eastAsia" w:ascii="宋体" w:hAnsi="宋体" w:cs="宋体"/>
          <w:b w:val="0"/>
          <w:bCs/>
          <w:kern w:val="0"/>
          <w:sz w:val="22"/>
          <w:szCs w:val="22"/>
        </w:rPr>
        <w:t>培训甲方或甲方指定的管理人员。</w:t>
      </w:r>
    </w:p>
    <w:p w14:paraId="1A950DDC">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kern w:val="0"/>
          <w:sz w:val="22"/>
          <w:szCs w:val="22"/>
        </w:rPr>
      </w:pPr>
      <w:r>
        <w:rPr>
          <w:rFonts w:hint="eastAsia" w:ascii="宋体" w:hAnsi="宋体" w:cs="宋体"/>
          <w:b/>
          <w:kern w:val="0"/>
          <w:sz w:val="22"/>
          <w:szCs w:val="22"/>
        </w:rPr>
        <w:t>十一、服务质量保证</w:t>
      </w:r>
    </w:p>
    <w:p w14:paraId="73BE05CC">
      <w:pPr>
        <w:spacing w:line="360" w:lineRule="auto"/>
        <w:ind w:firstLine="440" w:firstLineChars="200"/>
        <w:outlineLvl w:val="1"/>
        <w:rPr>
          <w:rFonts w:hint="eastAsia" w:ascii="宋体" w:hAnsi="宋体" w:cs="宋体"/>
          <w:b w:val="0"/>
          <w:bCs/>
          <w:sz w:val="22"/>
          <w:szCs w:val="22"/>
        </w:rPr>
      </w:pPr>
      <w:r>
        <w:rPr>
          <w:rFonts w:hint="eastAsia" w:ascii="宋体" w:hAnsi="宋体" w:cs="宋体"/>
          <w:b w:val="0"/>
          <w:bCs/>
          <w:sz w:val="22"/>
          <w:szCs w:val="22"/>
        </w:rPr>
        <w:t>符合陕西省人民政府办公厅《关于印发&lt;陕西省生态环境监测网络建设工作方案&gt;的通知》（陕政办发〔2016〕29号）、陕西省委办公厅、陕西省人民政府办公厅《关于深化环境监测改革提高环境监测数据质量的实施意见》（陕办发〔2018〕29号）、《关于印发陕西省生态环境监测站点管理办法的通知》（陕环发〔2022〕10号）、《关于印发陕西省省控环境空气质量自动监测站运行维护业务规范及技术要求（试行）的通知》、（陕环监测函〔2021〕18号）、《渭南市市控空气站自动监测系统运维及考核实施细则（试行）》（渭环监测函〔2024〕63号）及相关标准规范。</w:t>
      </w:r>
    </w:p>
    <w:p w14:paraId="42767852">
      <w:pPr>
        <w:numPr>
          <w:ilvl w:val="0"/>
          <w:numId w:val="0"/>
        </w:numPr>
        <w:spacing w:line="360" w:lineRule="auto"/>
        <w:ind w:firstLine="442" w:firstLineChars="200"/>
        <w:outlineLvl w:val="1"/>
        <w:rPr>
          <w:rFonts w:ascii="宋体" w:hAnsi="宋体" w:eastAsia="宋体" w:cs="宋体"/>
          <w:sz w:val="21"/>
          <w:szCs w:val="21"/>
        </w:rPr>
      </w:pPr>
      <w:r>
        <w:rPr>
          <w:rFonts w:hint="eastAsia" w:ascii="宋体" w:hAnsi="宋体" w:cs="宋体"/>
          <w:b/>
          <w:sz w:val="22"/>
          <w:szCs w:val="22"/>
          <w:lang w:val="en-US" w:eastAsia="zh-CN"/>
        </w:rPr>
        <w:t>十二、</w:t>
      </w:r>
      <w:r>
        <w:rPr>
          <w:rFonts w:hint="eastAsia" w:ascii="宋体" w:hAnsi="宋体" w:cs="宋体"/>
          <w:b/>
          <w:sz w:val="22"/>
          <w:szCs w:val="22"/>
        </w:rPr>
        <w:t>违约责任</w:t>
      </w:r>
    </w:p>
    <w:p w14:paraId="4337B2D8">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1</w:t>
      </w:r>
      <w:r>
        <w:rPr>
          <w:rFonts w:hint="eastAsia" w:ascii="宋体" w:hAnsi="宋体" w:eastAsia="宋体" w:cs="宋体"/>
          <w:b w:val="0"/>
          <w:bCs/>
          <w:sz w:val="22"/>
          <w:szCs w:val="22"/>
          <w:lang w:val="en-US" w:eastAsia="zh-CN"/>
        </w:rPr>
        <w:t>.</w:t>
      </w:r>
      <w:r>
        <w:rPr>
          <w:rFonts w:hint="eastAsia" w:ascii="宋体" w:hAnsi="宋体" w:eastAsia="宋体" w:cs="宋体"/>
          <w:b w:val="0"/>
          <w:bCs/>
          <w:sz w:val="22"/>
          <w:szCs w:val="22"/>
        </w:rPr>
        <w:t>本项目由甲方统一组织采购。如因任何一方过错造成合同不能履行、不 能完全履行或不适当履行，由有过错的方负责并承担由此造成的一切损失和费用 以及另一方采取合理补救措施的一切费用。</w:t>
      </w:r>
    </w:p>
    <w:p w14:paraId="0DBDFB5A">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2</w:t>
      </w:r>
      <w:r>
        <w:rPr>
          <w:rFonts w:hint="eastAsia" w:ascii="宋体" w:hAnsi="宋体" w:eastAsia="宋体" w:cs="宋体"/>
          <w:b w:val="0"/>
          <w:bCs/>
          <w:sz w:val="22"/>
          <w:szCs w:val="22"/>
          <w:lang w:val="en-US" w:eastAsia="zh-CN"/>
        </w:rPr>
        <w:t>.</w:t>
      </w:r>
      <w:r>
        <w:rPr>
          <w:rFonts w:hint="eastAsia" w:ascii="宋体" w:hAnsi="宋体" w:eastAsia="宋体" w:cs="宋体"/>
          <w:b w:val="0"/>
          <w:bCs/>
          <w:sz w:val="22"/>
          <w:szCs w:val="22"/>
        </w:rPr>
        <w:t>如由于双方的过错造成合同不能履行、不能完全履行或不适当履行，应 根据实际情况由双方分别承担各自应负的违约责任。</w:t>
      </w:r>
    </w:p>
    <w:p w14:paraId="4313986F">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3</w:t>
      </w:r>
      <w:r>
        <w:rPr>
          <w:rFonts w:hint="eastAsia" w:ascii="宋体" w:hAnsi="宋体" w:eastAsia="宋体" w:cs="宋体"/>
          <w:b w:val="0"/>
          <w:bCs/>
          <w:sz w:val="22"/>
          <w:szCs w:val="22"/>
          <w:lang w:val="en-US" w:eastAsia="zh-CN"/>
        </w:rPr>
        <w:t>.</w:t>
      </w:r>
      <w:r>
        <w:rPr>
          <w:rFonts w:hint="eastAsia" w:ascii="宋体" w:hAnsi="宋体" w:eastAsia="宋体" w:cs="宋体"/>
          <w:b w:val="0"/>
          <w:bCs/>
          <w:sz w:val="22"/>
          <w:szCs w:val="22"/>
        </w:rPr>
        <w:t>违约金与赔偿金额计算</w:t>
      </w:r>
    </w:p>
    <w:p w14:paraId="587D6B13">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(1)本合同项下涉及的所有的违约金和赔偿金额均依据合同的规定计算。如合同未有明确规定的，则根据国家或地方的有关规定、惯例、行业规定等合理 地估算。</w:t>
      </w:r>
    </w:p>
    <w:p w14:paraId="74D7770B">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(2)未经甲方书面同意，乙方擅自转让本合同项下的任何权利义务或者违  反合同关于保密条款约定的，乙方应退还甲方已支付的合同价款，还应向甲方支 付合同金额百分之二十(20%)作为违约金，给甲方造成损失的，另行承担赔偿 责任。同时，甲方有权解除合同。</w:t>
      </w:r>
    </w:p>
    <w:p w14:paraId="0C6130D4">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(3)若乙方的设备和运维服务未达到中国法律法规、标准规范的强制要求时，甲方有权解除合同。甲方据此解除合同的，乙方应当退还甲方已经支付的全 部费用，并向甲方支付合同总金额百分之二十(20%)的违约金，违约金不足以 弥补甲方损失的，乙方还应当承担损失赔偿责任。对于乙方承担的违约责任甲方 有权从尚未支付的合同价款中进行抵扣。如果未付金额不足以抵扣，甲方仍有权 向乙方提出补偿不足部分的要求。</w:t>
      </w:r>
    </w:p>
    <w:p w14:paraId="0BCD3C3D">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drawing>
          <wp:anchor distT="0" distB="0" distL="0" distR="0" simplePos="0" relativeHeight="251662336" behindDoc="0" locked="0" layoutInCell="1" allowOverlap="1">
            <wp:simplePos x="0" y="0"/>
            <wp:positionH relativeFrom="column">
              <wp:posOffset>0</wp:posOffset>
            </wp:positionH>
            <wp:positionV relativeFrom="paragraph">
              <wp:posOffset>1886585</wp:posOffset>
            </wp:positionV>
            <wp:extent cx="257175" cy="1321435"/>
            <wp:effectExtent l="0" t="0" r="9525" b="12065"/>
            <wp:wrapNone/>
            <wp:docPr id="2" name="IM 22"/>
            <wp:cNvGraphicFramePr/>
            <a:graphic xmlns:a="http://schemas.openxmlformats.org/drawingml/2006/main">
              <a:graphicData uri="http://schemas.openxmlformats.org/drawingml/2006/picture">
                <pic:pic xmlns:pic="http://schemas.openxmlformats.org/drawingml/2006/picture">
                  <pic:nvPicPr>
                    <pic:cNvPr id="2" name="IM 22"/>
                    <pic:cNvPicPr/>
                  </pic:nvPicPr>
                  <pic:blipFill>
                    <a:blip r:embed="rId5"/>
                    <a:stretch>
                      <a:fillRect/>
                    </a:stretch>
                  </pic:blipFill>
                  <pic:spPr>
                    <a:xfrm>
                      <a:off x="0" y="0"/>
                      <a:ext cx="257174" cy="1321169"/>
                    </a:xfrm>
                    <a:prstGeom prst="rect">
                      <a:avLst/>
                    </a:prstGeom>
                  </pic:spPr>
                </pic:pic>
              </a:graphicData>
            </a:graphic>
          </wp:anchor>
        </w:drawing>
      </w:r>
      <w:r>
        <w:rPr>
          <w:rFonts w:hint="eastAsia" w:ascii="宋体" w:hAnsi="宋体" w:eastAsia="宋体" w:cs="宋体"/>
          <w:b w:val="0"/>
          <w:bCs/>
          <w:sz w:val="22"/>
          <w:szCs w:val="22"/>
        </w:rPr>
        <w:t>(4)乙方如未按期完成站点服务，每逾期一日按合同总金额的千分之五支 付违约金，逾期超过二十天，甲方有权解除合同；乙方提供的运维服务不符合合 同约定或者技术规范要求的，必须及时改正，同时应当按照不符合合同约定或者 技术规范要求的违约天数按合同总金额的千分之五按日支付违约金，如果超过十 天，甲方有权解除合同。对于乙方承担的违约责任甲方有权从尚未支付的合同价 款中进行抵扣。如果未付金额不足以抵扣，甲方仍有权向乙方提出补偿不足部分 的要求。</w:t>
      </w:r>
    </w:p>
    <w:p w14:paraId="1FC777BC">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(5)甲方未按照约定期限付款，每逾期一日按照合同支付金额的千分之五 支付违约金，逾期超过三十天，乙方有权向甲方提出赔偿损失。</w:t>
      </w:r>
    </w:p>
    <w:p w14:paraId="14B551BF">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4、违约金与赔偿的支付</w:t>
      </w:r>
    </w:p>
    <w:p w14:paraId="1F51C744">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(1)乙方未按照合同约定充分、全面地履行合同义务(包括但不限于服务 时间、服务内容、服务品质等方面),给甲方造成损失的，除承担违约责任外， 还应赔偿甲方的实际经济损失(包括但不限于直接经济损失、支付的赔偿款、法 律费用等)。</w:t>
      </w:r>
    </w:p>
    <w:p w14:paraId="00EDA524">
      <w:pPr>
        <w:spacing w:line="360" w:lineRule="auto"/>
        <w:ind w:firstLine="440" w:firstLineChars="200"/>
        <w:outlineLvl w:val="1"/>
        <w:rPr>
          <w:rFonts w:hint="eastAsia" w:ascii="宋体" w:hAnsi="宋体" w:eastAsia="宋体" w:cs="宋体"/>
          <w:b w:val="0"/>
          <w:bCs/>
          <w:sz w:val="22"/>
          <w:szCs w:val="22"/>
        </w:rPr>
      </w:pPr>
      <w:r>
        <w:rPr>
          <w:rFonts w:hint="eastAsia" w:ascii="宋体" w:hAnsi="宋体" w:eastAsia="宋体" w:cs="宋体"/>
          <w:b w:val="0"/>
          <w:bCs/>
          <w:sz w:val="22"/>
          <w:szCs w:val="22"/>
        </w:rPr>
        <w:t>(2)对于合同中所列的违约金和赔偿，甲方有权从履约保函中获得违约金 和赔偿或从待付的后续合同款项中扣除。</w:t>
      </w:r>
    </w:p>
    <w:p w14:paraId="5CB2BF36">
      <w:pPr>
        <w:rPr>
          <w:rFonts w:hint="eastAsia" w:ascii="宋体" w:hAnsi="宋体" w:eastAsia="宋体" w:cs="宋体"/>
          <w:b w:val="0"/>
          <w:bCs/>
          <w:sz w:val="22"/>
          <w:szCs w:val="22"/>
        </w:rPr>
      </w:pPr>
      <w:r>
        <w:rPr>
          <w:rFonts w:hint="eastAsia" w:ascii="宋体" w:hAnsi="宋体" w:eastAsia="宋体" w:cs="宋体"/>
          <w:b w:val="0"/>
          <w:bCs/>
          <w:sz w:val="22"/>
          <w:szCs w:val="22"/>
        </w:rPr>
        <w:t>(3)如果乙方破产或丧失清偿能力时，甲方可在任何时候以书面通知乙方  解除合同。该解除合同将不损害或影响甲方已采取或将要采取的补救措施的权力。</w:t>
      </w:r>
    </w:p>
    <w:p w14:paraId="32592EAA">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十三、不可抗力事件处理</w:t>
      </w:r>
    </w:p>
    <w:p w14:paraId="0373B6EC">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cs="宋体"/>
          <w:kern w:val="0"/>
          <w:sz w:val="22"/>
          <w:szCs w:val="22"/>
        </w:rPr>
      </w:pPr>
      <w:r>
        <w:rPr>
          <w:rFonts w:hint="eastAsia" w:ascii="宋体" w:hAnsi="宋体" w:cs="宋体"/>
          <w:kern w:val="0"/>
          <w:sz w:val="22"/>
          <w:szCs w:val="22"/>
        </w:rPr>
        <w:t>由于不可抗力的原因不能履行合同时，应及时向对方通报不能履行或不能完 全履行的理由，在取得有关权威部门的证明以后，允许延期履行、部分履行或者 不履行合同，并根据情况可部分</w:t>
      </w:r>
      <w:r>
        <w:rPr>
          <w:rFonts w:hint="eastAsia" w:ascii="宋体" w:hAnsi="宋体" w:cs="宋体"/>
          <w:kern w:val="0"/>
          <w:sz w:val="22"/>
          <w:szCs w:val="22"/>
          <w:lang w:val="en-US" w:eastAsia="zh-CN"/>
        </w:rPr>
        <w:t xml:space="preserve"> </w:t>
      </w:r>
      <w:r>
        <w:rPr>
          <w:rFonts w:hint="eastAsia" w:ascii="宋体" w:hAnsi="宋体" w:cs="宋体"/>
          <w:kern w:val="0"/>
          <w:sz w:val="22"/>
          <w:szCs w:val="22"/>
        </w:rPr>
        <w:t>或全部免予承担违约责任。</w:t>
      </w:r>
    </w:p>
    <w:p w14:paraId="112F1A17">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2" w:firstLineChars="200"/>
        <w:jc w:val="left"/>
        <w:textAlignment w:val="auto"/>
        <w:rPr>
          <w:rFonts w:hint="eastAsia" w:ascii="宋体" w:hAnsi="宋体" w:cs="宋体"/>
          <w:b/>
          <w:bCs/>
          <w:kern w:val="0"/>
          <w:sz w:val="22"/>
          <w:szCs w:val="22"/>
        </w:rPr>
      </w:pPr>
      <w:r>
        <w:rPr>
          <w:rFonts w:hint="eastAsia" w:ascii="宋体" w:hAnsi="宋体" w:cs="宋体"/>
          <w:b/>
          <w:bCs/>
          <w:kern w:val="0"/>
          <w:sz w:val="22"/>
          <w:szCs w:val="22"/>
        </w:rPr>
        <w:t>十四、争议解决与适用法律</w:t>
      </w:r>
    </w:p>
    <w:p w14:paraId="5FD0AB55">
      <w:pPr>
        <w:keepNext w:val="0"/>
        <w:keepLines w:val="0"/>
        <w:pageBreakBefore w:val="0"/>
        <w:widowControl w:val="0"/>
        <w:tabs>
          <w:tab w:val="left" w:pos="0"/>
          <w:tab w:val="left" w:pos="437"/>
          <w:tab w:val="left" w:pos="1311"/>
        </w:tabs>
        <w:kinsoku/>
        <w:wordWrap/>
        <w:overflowPunct/>
        <w:topLinePunct w:val="0"/>
        <w:autoSpaceDE/>
        <w:autoSpaceDN/>
        <w:bidi w:val="0"/>
        <w:adjustRightInd w:val="0"/>
        <w:snapToGrid w:val="0"/>
        <w:spacing w:line="360" w:lineRule="auto"/>
        <w:ind w:firstLine="440" w:firstLineChars="200"/>
        <w:jc w:val="left"/>
        <w:textAlignment w:val="auto"/>
        <w:rPr>
          <w:rFonts w:hint="eastAsia" w:ascii="宋体" w:hAnsi="宋体" w:eastAsia="宋体" w:cs="宋体"/>
          <w:kern w:val="0"/>
          <w:sz w:val="22"/>
          <w:szCs w:val="22"/>
        </w:rPr>
      </w:pPr>
      <w:r>
        <w:rPr>
          <w:rFonts w:hint="eastAsia" w:ascii="宋体" w:hAnsi="宋体" w:eastAsia="宋体" w:cs="宋体"/>
          <w:kern w:val="0"/>
          <w:sz w:val="22"/>
          <w:szCs w:val="22"/>
        </w:rPr>
        <w:t>1</w:t>
      </w:r>
      <w:r>
        <w:rPr>
          <w:rFonts w:hint="eastAsia" w:ascii="宋体" w:hAnsi="宋体" w:eastAsia="宋体" w:cs="宋体"/>
          <w:kern w:val="0"/>
          <w:sz w:val="22"/>
          <w:szCs w:val="22"/>
          <w:lang w:val="en-US" w:eastAsia="zh-CN"/>
        </w:rPr>
        <w:t>.</w:t>
      </w:r>
      <w:r>
        <w:rPr>
          <w:rFonts w:hint="eastAsia" w:ascii="宋体" w:hAnsi="宋体" w:eastAsia="宋体" w:cs="宋体"/>
          <w:kern w:val="0"/>
          <w:sz w:val="22"/>
          <w:szCs w:val="22"/>
        </w:rPr>
        <w:t>合同实施或与合同有关的争端应通过双方协商解决。如果协商开始后30 天还不能解决任何一方均可向甲方所在地有管辖权的人民法院提起诉讼。并且， 违约方应承担守约方主张权利所产生的所有费用，包括律师费、诉讼费或者仲裁 费、交通费、住宿费等所有直接损失。</w:t>
      </w:r>
    </w:p>
    <w:p w14:paraId="1506B65C">
      <w:pPr>
        <w:widowControl/>
        <w:tabs>
          <w:tab w:val="left" w:pos="0"/>
          <w:tab w:val="left" w:pos="437"/>
          <w:tab w:val="left" w:pos="1311"/>
        </w:tabs>
        <w:adjustRightInd w:val="0"/>
        <w:snapToGrid w:val="0"/>
        <w:spacing w:line="360" w:lineRule="auto"/>
        <w:ind w:firstLine="440" w:firstLineChars="200"/>
        <w:jc w:val="left"/>
        <w:rPr>
          <w:rFonts w:hint="eastAsia" w:ascii="宋体" w:hAnsi="宋体" w:eastAsia="宋体" w:cs="宋体"/>
          <w:kern w:val="0"/>
          <w:sz w:val="22"/>
          <w:szCs w:val="22"/>
        </w:rPr>
      </w:pPr>
      <w:r>
        <w:rPr>
          <w:rFonts w:hint="eastAsia" w:ascii="宋体" w:hAnsi="宋体" w:eastAsia="宋体" w:cs="宋体"/>
          <w:kern w:val="0"/>
          <w:sz w:val="22"/>
          <w:szCs w:val="22"/>
        </w:rPr>
        <w:t>2</w:t>
      </w:r>
      <w:r>
        <w:rPr>
          <w:rFonts w:hint="eastAsia" w:ascii="宋体" w:hAnsi="宋体" w:eastAsia="宋体" w:cs="宋体"/>
          <w:kern w:val="0"/>
          <w:sz w:val="22"/>
          <w:szCs w:val="22"/>
          <w:lang w:val="en-US" w:eastAsia="zh-CN"/>
        </w:rPr>
        <w:t>.</w:t>
      </w:r>
      <w:r>
        <w:rPr>
          <w:rFonts w:hint="eastAsia" w:ascii="宋体" w:hAnsi="宋体" w:eastAsia="宋体" w:cs="宋体"/>
          <w:kern w:val="0"/>
          <w:sz w:val="22"/>
          <w:szCs w:val="22"/>
        </w:rPr>
        <w:t>在争议存续期间，本合同应继续执行。</w:t>
      </w:r>
    </w:p>
    <w:p w14:paraId="26E75639">
      <w:pPr>
        <w:widowControl/>
        <w:tabs>
          <w:tab w:val="left" w:pos="0"/>
          <w:tab w:val="left" w:pos="437"/>
          <w:tab w:val="left" w:pos="1311"/>
        </w:tabs>
        <w:adjustRightInd w:val="0"/>
        <w:snapToGrid w:val="0"/>
        <w:spacing w:line="360" w:lineRule="auto"/>
        <w:ind w:firstLine="442" w:firstLineChars="200"/>
        <w:jc w:val="left"/>
        <w:rPr>
          <w:rFonts w:hint="eastAsia" w:ascii="宋体" w:hAnsi="宋体" w:cs="宋体"/>
          <w:b/>
          <w:bCs/>
          <w:kern w:val="0"/>
          <w:sz w:val="22"/>
          <w:szCs w:val="22"/>
        </w:rPr>
      </w:pPr>
      <w:r>
        <w:rPr>
          <w:rFonts w:hint="eastAsia" w:ascii="宋体" w:hAnsi="宋体" w:cs="宋体"/>
          <w:b/>
          <w:bCs/>
          <w:kern w:val="0"/>
          <w:sz w:val="22"/>
          <w:szCs w:val="22"/>
        </w:rPr>
        <w:t>十五、合同生效及其它</w:t>
      </w:r>
    </w:p>
    <w:p w14:paraId="51755FC4">
      <w:pPr>
        <w:widowControl/>
        <w:tabs>
          <w:tab w:val="left" w:pos="0"/>
          <w:tab w:val="left" w:pos="437"/>
          <w:tab w:val="left" w:pos="1311"/>
        </w:tabs>
        <w:adjustRightInd w:val="0"/>
        <w:snapToGrid w:val="0"/>
        <w:spacing w:line="360" w:lineRule="auto"/>
        <w:ind w:firstLine="440" w:firstLineChars="200"/>
        <w:jc w:val="left"/>
        <w:rPr>
          <w:rFonts w:hint="eastAsia" w:ascii="宋体" w:hAnsi="宋体" w:cs="宋体"/>
          <w:kern w:val="0"/>
          <w:sz w:val="22"/>
          <w:szCs w:val="22"/>
        </w:rPr>
      </w:pPr>
      <w:r>
        <w:rPr>
          <w:rFonts w:hint="eastAsia" w:ascii="宋体" w:hAnsi="宋体" w:cs="宋体"/>
          <w:kern w:val="0"/>
          <w:sz w:val="22"/>
          <w:szCs w:val="22"/>
        </w:rPr>
        <w:t>1.本合同经采购人、</w:t>
      </w:r>
      <w:r>
        <w:rPr>
          <w:rFonts w:hint="eastAsia" w:ascii="宋体" w:hAnsi="宋体" w:cs="宋体"/>
          <w:sz w:val="22"/>
          <w:szCs w:val="22"/>
        </w:rPr>
        <w:t>中标人</w:t>
      </w:r>
      <w:r>
        <w:rPr>
          <w:rFonts w:hint="eastAsia" w:ascii="宋体" w:hAnsi="宋体" w:cs="宋体"/>
          <w:kern w:val="0"/>
          <w:sz w:val="22"/>
          <w:szCs w:val="22"/>
        </w:rPr>
        <w:t>法定代表人或其委托人签字并加盖公章后生效。</w:t>
      </w:r>
    </w:p>
    <w:p w14:paraId="08D2889D">
      <w:pPr>
        <w:widowControl/>
        <w:tabs>
          <w:tab w:val="left" w:pos="0"/>
          <w:tab w:val="left" w:pos="437"/>
          <w:tab w:val="left" w:pos="1311"/>
        </w:tabs>
        <w:adjustRightInd w:val="0"/>
        <w:snapToGrid w:val="0"/>
        <w:spacing w:line="360" w:lineRule="auto"/>
        <w:ind w:firstLine="408" w:firstLineChars="200"/>
        <w:jc w:val="left"/>
        <w:rPr>
          <w:rFonts w:hint="eastAsia" w:ascii="宋体" w:hAnsi="宋体" w:cs="宋体"/>
          <w:color w:val="auto"/>
          <w:kern w:val="0"/>
          <w:sz w:val="22"/>
          <w:szCs w:val="22"/>
        </w:rPr>
      </w:pPr>
      <w:r>
        <w:rPr>
          <w:rFonts w:hint="eastAsia" w:ascii="宋体" w:hAnsi="宋体" w:cs="宋体"/>
          <w:spacing w:val="-8"/>
          <w:kern w:val="0"/>
          <w:sz w:val="22"/>
          <w:szCs w:val="22"/>
        </w:rPr>
        <w:t>2.本合同一式</w:t>
      </w:r>
      <w:r>
        <w:rPr>
          <w:rFonts w:hint="eastAsia" w:ascii="宋体" w:hAnsi="宋体" w:cs="宋体"/>
          <w:spacing w:val="-8"/>
          <w:kern w:val="0"/>
          <w:sz w:val="22"/>
          <w:szCs w:val="22"/>
          <w:u w:val="single"/>
        </w:rPr>
        <w:t>陆</w:t>
      </w:r>
      <w:r>
        <w:rPr>
          <w:rFonts w:hint="eastAsia" w:ascii="宋体" w:hAnsi="宋体" w:cs="宋体"/>
          <w:spacing w:val="-8"/>
          <w:kern w:val="0"/>
          <w:sz w:val="22"/>
          <w:szCs w:val="22"/>
        </w:rPr>
        <w:t>份，采购人执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份、中标人执</w:t>
      </w:r>
      <w:r>
        <w:rPr>
          <w:rFonts w:hint="eastAsia" w:ascii="宋体" w:hAnsi="宋体" w:cs="宋体"/>
          <w:spacing w:val="-8"/>
          <w:kern w:val="0"/>
          <w:sz w:val="22"/>
          <w:szCs w:val="22"/>
          <w:u w:val="single"/>
        </w:rPr>
        <w:t>贰</w:t>
      </w:r>
      <w:r>
        <w:rPr>
          <w:rFonts w:hint="eastAsia" w:ascii="宋体" w:hAnsi="宋体" w:cs="宋体"/>
          <w:spacing w:val="-8"/>
          <w:kern w:val="0"/>
          <w:sz w:val="22"/>
          <w:szCs w:val="22"/>
        </w:rPr>
        <w:t>份，其余相关部门各</w:t>
      </w:r>
      <w:r>
        <w:rPr>
          <w:rFonts w:hint="eastAsia" w:ascii="宋体" w:hAnsi="宋体" w:cs="宋体"/>
          <w:spacing w:val="-8"/>
          <w:kern w:val="0"/>
          <w:sz w:val="22"/>
          <w:szCs w:val="22"/>
          <w:u w:val="single"/>
        </w:rPr>
        <w:t>壹</w:t>
      </w:r>
      <w:r>
        <w:rPr>
          <w:rFonts w:hint="eastAsia" w:ascii="宋体" w:hAnsi="宋体" w:cs="宋体"/>
          <w:spacing w:val="-8"/>
          <w:kern w:val="0"/>
          <w:sz w:val="22"/>
          <w:szCs w:val="22"/>
        </w:rPr>
        <w:t>份。</w:t>
      </w:r>
    </w:p>
    <w:p w14:paraId="47A2A88F">
      <w:pPr>
        <w:pStyle w:val="4"/>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采购人（章）：                               中标人（章）：         </w:t>
      </w:r>
    </w:p>
    <w:p w14:paraId="5AE6C9F4">
      <w:pPr>
        <w:pStyle w:val="4"/>
        <w:spacing w:line="360" w:lineRule="auto"/>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法定代表人                                   法定代表人</w:t>
      </w:r>
    </w:p>
    <w:p w14:paraId="671326D5">
      <w:pPr>
        <w:pStyle w:val="4"/>
        <w:spacing w:line="360" w:lineRule="auto"/>
        <w:ind w:firstLine="440" w:firstLineChars="200"/>
        <w:rPr>
          <w:rFonts w:hint="eastAsia" w:ascii="宋体" w:hAnsi="宋体" w:cs="宋体"/>
          <w:sz w:val="22"/>
          <w:szCs w:val="22"/>
        </w:rPr>
      </w:pPr>
      <w:r>
        <w:rPr>
          <w:rFonts w:hint="eastAsia" w:ascii="宋体" w:hAnsi="宋体" w:cs="宋体"/>
          <w:color w:val="auto"/>
          <w:kern w:val="0"/>
          <w:sz w:val="22"/>
          <w:szCs w:val="22"/>
        </w:rPr>
        <w:t xml:space="preserve">或委托代理人（签字或盖章）：                 或委托代理人（签字或盖章）：  </w:t>
      </w:r>
    </w:p>
    <w:p w14:paraId="6D2CB2AF">
      <w:pPr>
        <w:ind w:firstLine="440" w:firstLineChars="200"/>
        <w:rPr>
          <w:rFonts w:hint="eastAsia" w:ascii="宋体" w:hAnsi="宋体" w:cs="宋体"/>
          <w:color w:val="auto"/>
          <w:kern w:val="0"/>
          <w:sz w:val="22"/>
          <w:szCs w:val="22"/>
        </w:rPr>
      </w:pPr>
      <w:r>
        <w:rPr>
          <w:rFonts w:hint="eastAsia" w:ascii="宋体" w:hAnsi="宋体" w:cs="宋体"/>
          <w:color w:val="auto"/>
          <w:kern w:val="0"/>
          <w:sz w:val="22"/>
          <w:szCs w:val="22"/>
        </w:rPr>
        <w:t xml:space="preserve">年   月   日                                年   月   </w:t>
      </w:r>
      <w:r>
        <w:rPr>
          <w:rFonts w:hint="eastAsia" w:ascii="宋体" w:hAnsi="宋体" w:cs="宋体"/>
          <w:color w:val="auto"/>
          <w:kern w:val="0"/>
          <w:sz w:val="22"/>
          <w:szCs w:val="22"/>
          <w:lang w:val="en-US" w:eastAsia="zh-CN"/>
        </w:rPr>
        <w:t>日</w:t>
      </w:r>
    </w:p>
    <w:p w14:paraId="3D1C0AF8">
      <w:pPr>
        <w:widowControl w:val="0"/>
        <w:numPr>
          <w:ilvl w:val="0"/>
          <w:numId w:val="0"/>
        </w:numPr>
        <w:spacing w:line="324" w:lineRule="auto"/>
        <w:jc w:val="both"/>
        <w:rPr>
          <w:rFonts w:hint="eastAsia"/>
          <w:lang w:val="en-US" w:eastAsia="zh-CN"/>
        </w:rPr>
      </w:pPr>
    </w:p>
    <w:p w14:paraId="2A849763">
      <w:pPr>
        <w:pStyle w:val="2"/>
        <w:rPr>
          <w:rFonts w:hint="eastAsia"/>
          <w:lang w:val="en-US" w:eastAsia="zh-CN"/>
        </w:rPr>
      </w:pPr>
    </w:p>
    <w:p w14:paraId="1F83D587">
      <w:pPr>
        <w:rPr>
          <w:rFonts w:hint="eastAsia"/>
          <w:lang w:val="en-US" w:eastAsia="zh-CN"/>
        </w:rPr>
      </w:pPr>
    </w:p>
    <w:p w14:paraId="52C807A0">
      <w:pPr>
        <w:pStyle w:val="2"/>
        <w:rPr>
          <w:rFonts w:hint="eastAsia"/>
          <w:lang w:val="en-US" w:eastAsia="zh-CN"/>
        </w:rPr>
      </w:pPr>
    </w:p>
    <w:p w14:paraId="0490A8B6">
      <w:pPr>
        <w:rPr>
          <w:rFonts w:hint="eastAsia"/>
          <w:lang w:val="en-US" w:eastAsia="zh-CN"/>
        </w:rPr>
      </w:pPr>
    </w:p>
    <w:p w14:paraId="66D5F432">
      <w:pPr>
        <w:pStyle w:val="2"/>
        <w:rPr>
          <w:rFonts w:hint="eastAsia"/>
          <w:lang w:val="en-US" w:eastAsia="zh-CN"/>
        </w:rPr>
      </w:pPr>
    </w:p>
    <w:p w14:paraId="159C6A1D">
      <w:pPr>
        <w:rPr>
          <w:rFonts w:hint="eastAsia"/>
          <w:lang w:val="en-US" w:eastAsia="zh-CN"/>
        </w:rPr>
      </w:pPr>
    </w:p>
    <w:p w14:paraId="78D2757D">
      <w:pPr>
        <w:pStyle w:val="2"/>
        <w:rPr>
          <w:rFonts w:hint="eastAsia"/>
          <w:lang w:val="en-US" w:eastAsia="zh-CN"/>
        </w:rPr>
      </w:pPr>
    </w:p>
    <w:p w14:paraId="3EC3069D">
      <w:pPr>
        <w:rPr>
          <w:rFonts w:hint="eastAsia"/>
          <w:lang w:val="en-US" w:eastAsia="zh-CN"/>
        </w:rPr>
      </w:pPr>
    </w:p>
    <w:p w14:paraId="2A9AA54E">
      <w:pPr>
        <w:pStyle w:val="2"/>
        <w:rPr>
          <w:rFonts w:hint="eastAsia"/>
          <w:lang w:val="en-US" w:eastAsia="zh-CN"/>
        </w:rPr>
      </w:pPr>
    </w:p>
    <w:p w14:paraId="5DD14373">
      <w:pPr>
        <w:rPr>
          <w:rFonts w:hint="eastAsia"/>
          <w:lang w:val="en-US" w:eastAsia="zh-CN"/>
        </w:rPr>
      </w:pPr>
    </w:p>
    <w:p w14:paraId="525AE808">
      <w:pPr>
        <w:pStyle w:val="2"/>
        <w:rPr>
          <w:rFonts w:hint="eastAsia"/>
          <w:lang w:val="en-US" w:eastAsia="zh-CN"/>
        </w:rPr>
      </w:pPr>
    </w:p>
    <w:p w14:paraId="61C61D48">
      <w:pPr>
        <w:rPr>
          <w:rFonts w:hint="eastAsia"/>
          <w:lang w:val="en-US" w:eastAsia="zh-CN"/>
        </w:rPr>
      </w:pPr>
    </w:p>
    <w:p w14:paraId="441D0D45">
      <w:pPr>
        <w:pStyle w:val="2"/>
        <w:rPr>
          <w:rFonts w:hint="eastAsia"/>
          <w:lang w:val="en-US" w:eastAsia="zh-CN"/>
        </w:rPr>
      </w:pPr>
    </w:p>
    <w:p w14:paraId="3E2A1DFE">
      <w:pPr>
        <w:rPr>
          <w:rFonts w:hint="eastAsia"/>
          <w:lang w:val="en-US" w:eastAsia="zh-CN"/>
        </w:rPr>
      </w:pPr>
    </w:p>
    <w:p w14:paraId="5202ABBD">
      <w:pPr>
        <w:pStyle w:val="2"/>
        <w:rPr>
          <w:rFonts w:hint="eastAsia"/>
          <w:lang w:val="en-US" w:eastAsia="zh-CN"/>
        </w:rPr>
      </w:pPr>
    </w:p>
    <w:p w14:paraId="0B62B1C4">
      <w:pPr>
        <w:rPr>
          <w:rFonts w:hint="eastAsia"/>
          <w:lang w:val="en-US" w:eastAsia="zh-CN"/>
        </w:rPr>
      </w:pPr>
    </w:p>
    <w:p w14:paraId="53928C1C">
      <w:pPr>
        <w:pStyle w:val="2"/>
        <w:rPr>
          <w:rFonts w:hint="eastAsia"/>
          <w:lang w:val="en-US" w:eastAsia="zh-CN"/>
        </w:rPr>
      </w:pPr>
    </w:p>
    <w:p w14:paraId="47B66A10">
      <w:pPr>
        <w:rPr>
          <w:rFonts w:hint="eastAsia"/>
          <w:lang w:val="en-US" w:eastAsia="zh-CN"/>
        </w:rPr>
      </w:pPr>
    </w:p>
    <w:p w14:paraId="60EC4217">
      <w:pPr>
        <w:pStyle w:val="2"/>
        <w:rPr>
          <w:rFonts w:hint="eastAsia"/>
          <w:lang w:val="en-US" w:eastAsia="zh-CN"/>
        </w:rPr>
      </w:pPr>
    </w:p>
    <w:p w14:paraId="005FF5A0">
      <w:pPr>
        <w:rPr>
          <w:rFonts w:hint="eastAsia"/>
          <w:lang w:val="en-US" w:eastAsia="zh-CN"/>
        </w:rPr>
      </w:pPr>
    </w:p>
    <w:p w14:paraId="08786020">
      <w:pPr>
        <w:pStyle w:val="2"/>
        <w:rPr>
          <w:rFonts w:hint="eastAsia"/>
          <w:lang w:val="en-US" w:eastAsia="zh-CN"/>
        </w:rPr>
      </w:pPr>
    </w:p>
    <w:p w14:paraId="44BE68B9">
      <w:pPr>
        <w:rPr>
          <w:rFonts w:hint="eastAsia"/>
          <w:lang w:val="en-US" w:eastAsia="zh-CN"/>
        </w:rPr>
      </w:pPr>
    </w:p>
    <w:p w14:paraId="258A5355">
      <w:pPr>
        <w:pStyle w:val="2"/>
        <w:rPr>
          <w:rFonts w:hint="eastAsia"/>
          <w:lang w:val="en-US" w:eastAsia="zh-CN"/>
        </w:rPr>
      </w:pPr>
    </w:p>
    <w:p w14:paraId="01C84CAC">
      <w:pPr>
        <w:rPr>
          <w:rFonts w:hint="eastAsia"/>
          <w:lang w:val="en-US" w:eastAsia="zh-CN"/>
        </w:rPr>
      </w:pPr>
    </w:p>
    <w:p w14:paraId="4CE0F0B7">
      <w:pPr>
        <w:pStyle w:val="2"/>
        <w:rPr>
          <w:rFonts w:hint="eastAsia"/>
          <w:lang w:val="en-US" w:eastAsia="zh-CN"/>
        </w:rPr>
      </w:pPr>
    </w:p>
    <w:p w14:paraId="2D258439">
      <w:pPr>
        <w:rPr>
          <w:rFonts w:hint="eastAsia"/>
          <w:lang w:val="en-US" w:eastAsia="zh-CN"/>
        </w:rPr>
      </w:pPr>
    </w:p>
    <w:p w14:paraId="38E313D4">
      <w:pPr>
        <w:pStyle w:val="2"/>
        <w:rPr>
          <w:rFonts w:hint="eastAsia"/>
          <w:lang w:val="en-US" w:eastAsia="zh-CN"/>
        </w:rPr>
      </w:pPr>
    </w:p>
    <w:p w14:paraId="3232E2B2">
      <w:pPr>
        <w:rPr>
          <w:rFonts w:hint="eastAsia"/>
          <w:lang w:val="en-US" w:eastAsia="zh-CN"/>
        </w:rPr>
      </w:pPr>
    </w:p>
    <w:p w14:paraId="0D54F014">
      <w:pPr>
        <w:pStyle w:val="2"/>
        <w:rPr>
          <w:rFonts w:hint="eastAsia"/>
          <w:lang w:val="en-US" w:eastAsia="zh-CN"/>
        </w:rPr>
      </w:pPr>
    </w:p>
    <w:p w14:paraId="51D0F1BC">
      <w:pPr>
        <w:rPr>
          <w:rFonts w:hint="eastAsia"/>
          <w:lang w:val="en-US" w:eastAsia="zh-CN"/>
        </w:rPr>
      </w:pPr>
    </w:p>
    <w:p w14:paraId="7265A54C">
      <w:pPr>
        <w:pStyle w:val="2"/>
        <w:rPr>
          <w:rFonts w:hint="eastAsia"/>
          <w:lang w:val="en-US" w:eastAsia="zh-CN"/>
        </w:rPr>
      </w:pPr>
    </w:p>
    <w:p w14:paraId="25F6BDA7">
      <w:pPr>
        <w:rPr>
          <w:rFonts w:hint="eastAsia"/>
          <w:lang w:val="en-US" w:eastAsia="zh-CN"/>
        </w:rPr>
      </w:pPr>
      <w:bookmarkStart w:id="5" w:name="_GoBack"/>
      <w:bookmarkEnd w:id="5"/>
    </w:p>
    <w:sectPr>
      <w:pgSz w:w="11906" w:h="16838"/>
      <w:pgMar w:top="1417" w:right="1417" w:bottom="1417" w:left="1417" w:header="851" w:footer="992" w:gutter="0"/>
      <w:paperSrc/>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_GB2312">
    <w:altName w:val="Courier New"/>
    <w:panose1 w:val="00000000000000000000"/>
    <w:charset w:val="00"/>
    <w:family w:val="auto"/>
    <w:pitch w:val="default"/>
    <w:sig w:usb0="00000000"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3AC948"/>
    <w:multiLevelType w:val="singleLevel"/>
    <w:tmpl w:val="463AC948"/>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E50CA4"/>
    <w:rsid w:val="53E50C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qFormat/>
    <w:uiPriority w:val="0"/>
    <w:pPr>
      <w:keepNext/>
      <w:keepLines/>
      <w:spacing w:line="360" w:lineRule="auto"/>
      <w:outlineLvl w:val="3"/>
    </w:pPr>
    <w:rPr>
      <w:rFonts w:ascii="Arial" w:hAnsi="Arial"/>
      <w:b/>
      <w:bCs/>
      <w:szCs w:val="28"/>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next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w:basedOn w:val="1"/>
    <w:next w:val="1"/>
    <w:qFormat/>
    <w:uiPriority w:val="99"/>
    <w:rPr>
      <w:color w:val="993300"/>
      <w:sz w:val="24"/>
    </w:rPr>
  </w:style>
  <w:style w:type="paragraph" w:styleId="5">
    <w:name w:val="Title"/>
    <w:basedOn w:val="1"/>
    <w:next w:val="1"/>
    <w:qFormat/>
    <w:uiPriority w:val="0"/>
    <w:pPr>
      <w:spacing w:before="240" w:after="60"/>
      <w:jc w:val="center"/>
      <w:outlineLvl w:val="0"/>
    </w:pPr>
    <w:rPr>
      <w:rFonts w:ascii="Cambria" w:hAnsi="Cambria"/>
      <w:b/>
      <w:bCs/>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2025-07-17T06:38:00Z</dcterms:created>
  <dc:creator>有点甜</dc:creator>
  <cp:lastModifiedBy>有点甜</cp:lastModifiedBy>
  <dcterms:modified xsi:type="dcterms:W3CDTF">2025-07-17T06:41:28Z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1B232D502F6D42E7A4BCD567DBF69CB6_11</vt:lpwstr>
  </property>
  <property fmtid="{D5CDD505-2E9C-101B-9397-08002B2CF9AE}" pid="4" name="KSOTemplateDocerSaveRecord">
    <vt:lpwstr>eyJoZGlkIjoiNzJjY2M5OTVjNGM0MTQ2YTJhMjI4NjJlOGU5NjUwNjQiLCJ1c2VySWQiOiI1NjY1MDY3MzkifQ==</vt:lpwstr>
  </property>
</Properties>
</file>