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版本号：ZCSP-渭南市-2025-00549、DRZB2025-ZC-14820250702001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劳保服、纸尿裤、电线电缆、水泥等产品质量监督抽检项目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ZCSP-渭南市-2025-00549、DRZB2025-ZC-148</w:t>
      </w:r>
      <w:r>
        <w:br/>
      </w:r>
      <w:r>
        <w:br/>
      </w:r>
      <w:r>
        <w:br/>
      </w:r>
    </w:p>
    <w:p>
      <w:pPr>
        <w:pStyle w:val="null3"/>
        <w:jc w:val="center"/>
        <w:outlineLvl w:val="2"/>
      </w:pPr>
      <w:r>
        <w:rPr>
          <w:rFonts w:ascii="仿宋_GB2312" w:hAnsi="仿宋_GB2312" w:cs="仿宋_GB2312" w:eastAsia="仿宋_GB2312"/>
          <w:sz w:val="28"/>
          <w:b/>
        </w:rPr>
        <w:t>渭南市市场监督管理局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渭南市市场监督管理局</w:t>
      </w:r>
      <w:r>
        <w:rPr>
          <w:rFonts w:ascii="仿宋_GB2312" w:hAnsi="仿宋_GB2312" w:cs="仿宋_GB2312" w:eastAsia="仿宋_GB2312"/>
        </w:rPr>
        <w:t>委托，拟对</w:t>
      </w:r>
      <w:r>
        <w:rPr>
          <w:rFonts w:ascii="仿宋_GB2312" w:hAnsi="仿宋_GB2312" w:cs="仿宋_GB2312" w:eastAsia="仿宋_GB2312"/>
        </w:rPr>
        <w:t>劳保服、纸尿裤、电线电缆、水泥等产品质量监督抽检项目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ZCSP-渭南市-2025-00549、DRZB2025-ZC-148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劳保服、纸尿裤、电线电缆、水泥等产品质量监督抽检项目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1：劳保服（工作服）、儿童服、老年服等纺织品质量监督抽检项目，具体详见采购文件。包2：节水器具、滴灌带、纸尿裤、卫生巾、一次性内裤、机动车发动机冷却液、机动车辆制动液、电动自行车头盔等产品质量监督抽检项目，具体详见采购文件。包3：电线电缆、水泥、钢筋、洗涤用品、羊绒衫、羊毛衫、羽绒服、正丁醇、护眼灯、笔袋、中性墨水圆珠笔和笔芯等产品质量监督抽检项目，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采购包1（劳保服（工作服）、儿童服、老年服等纺织品质量监督抽检项目）：属于专门面向中小企业采购。</w:t>
      </w:r>
    </w:p>
    <w:p>
      <w:pPr>
        <w:pStyle w:val="null3"/>
      </w:pPr>
      <w:r>
        <w:rPr>
          <w:rFonts w:ascii="仿宋_GB2312" w:hAnsi="仿宋_GB2312" w:cs="仿宋_GB2312" w:eastAsia="仿宋_GB2312"/>
        </w:rPr>
        <w:t>采购包2（节水器具、滴灌带、纸尿裤、卫生巾、一次性内裤、机动车发动机冷却液、机动车辆制动液、电动自行车头盔等产品质量监督抽检项目）：属于专门面向中小企业采购。</w:t>
      </w:r>
    </w:p>
    <w:p>
      <w:pPr>
        <w:pStyle w:val="null3"/>
      </w:pPr>
      <w:r>
        <w:rPr>
          <w:rFonts w:ascii="仿宋_GB2312" w:hAnsi="仿宋_GB2312" w:cs="仿宋_GB2312" w:eastAsia="仿宋_GB2312"/>
        </w:rPr>
        <w:t>采购包3（电线电缆、水泥、钢筋、洗涤用品、羊绒衫、羊毛衫、羽绒服、正丁醇、护眼灯、笔袋、中性墨水圆珠笔和笔芯等产品质量监督抽检项目）：属于专门面向中小企业采购。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渭南市临渭区车雷街69号东配楼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0913-2933583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029-85565073、13709225739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采购包1：80,000.00元</w:t>
            </w:r>
          </w:p>
          <w:p>
            <w:pPr>
              <w:pStyle w:val="null3"/>
            </w:pPr>
            <w:r>
              <w:rPr>
                <w:rFonts w:ascii="仿宋_GB2312" w:hAnsi="仿宋_GB2312" w:cs="仿宋_GB2312" w:eastAsia="仿宋_GB2312"/>
              </w:rPr>
              <w:t>采购包2：160,000.00元</w:t>
            </w:r>
          </w:p>
          <w:p>
            <w:pPr>
              <w:pStyle w:val="null3"/>
            </w:pPr>
            <w:r>
              <w:rPr>
                <w:rFonts w:ascii="仿宋_GB2312" w:hAnsi="仿宋_GB2312" w:cs="仿宋_GB2312" w:eastAsia="仿宋_GB2312"/>
              </w:rPr>
              <w:t>采购包3：160,000.00元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采购包1保证金金额：1,148.00元</w:t>
            </w:r>
          </w:p>
          <w:p>
            <w:pPr>
              <w:pStyle w:val="null3"/>
            </w:pPr>
            <w:r>
              <w:rPr>
                <w:rFonts w:ascii="仿宋_GB2312" w:hAnsi="仿宋_GB2312" w:cs="仿宋_GB2312" w:eastAsia="仿宋_GB2312"/>
              </w:rPr>
              <w:t>采购包2保证金金额：3,200.00元</w:t>
            </w:r>
          </w:p>
          <w:p>
            <w:pPr>
              <w:pStyle w:val="null3"/>
            </w:pPr>
            <w:r>
              <w:rPr>
                <w:rFonts w:ascii="仿宋_GB2312" w:hAnsi="仿宋_GB2312" w:cs="仿宋_GB2312" w:eastAsia="仿宋_GB2312"/>
              </w:rPr>
              <w:t>采购包3保证金金额：3,148.00元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之前，向采购代理机构一次付清招标代理服务费。代理服务费参照原国家计委颁发的《招标代理服务收费管理暂行办法》(计价格[2002]1980号)和国家发展和改革委员发改价格〔2015〕299号规定，经协商由成交供应商向采购代理机构支付招标代理服务费，单个采购包代理费不足叁仟元的则按照叁仟元支付。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渭南市市场监督管理局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劳保服（工作服）、儿童服、老年服等纺织品质量监督抽检项目，具体详见采购文件。包2：节水器具、滴灌带、纸尿裤、卫生巾、一次性内裤、机动车发动机冷却液、机动车辆制动液、电动自行车头盔等产品质量监督抽检项目，具体详见采购文件。包3：电线电缆、水泥、钢筋、洗涤用品、羊绒衫、羊毛衫、羽绒服、正丁醇、护眼灯、笔袋、中性墨水圆珠笔和笔芯等产品质量监督抽检项目，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劳保服（工作服）、儿童服、老年服等纺织品质量监督抽检项目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节水器具、滴灌带、纸尿裤、卫生巾、一次性内裤、机动车发动机冷却液、机动车辆制动液、电动自行车头盔等产品质量监督抽检项目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电线电缆、水泥、钢筋、洗涤用品、羊绒衫、羊毛衫、羽绒服、正丁醇、护眼灯、笔袋、中性墨水圆珠笔和笔芯等产品质量监督抽检项目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标的名称：劳保服（工作服）、儿童服、老年服等纺织品质量监督抽检项目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1、功能要求：招标确定一家国家批准认证的第三方承检机构完成我局劳保服、纸尿裤、电线电缆、水泥等产品质量监督抽检任务。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严格按照严格按照 劳保服（工作服）：GB 12014-2019、GB 8965.1-2020、FZ/T 81007-2022，儿童服：FZ/T 73025-2019、FZ/T 73045-2019、GB 31701-2015、GB 18401-2010，老年服：FZ/T 81007-2022、GB 18401-2010及相关要求，开展抽样检验工作。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劳保服（工作服）、儿童服、老年服等纺织品质量监督抽检项目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劳保服（工作服）</w:t>
                  </w:r>
                </w:p>
              </w:tc>
              <w:tc>
                <w:tcPr>
                  <w:tcW w:type="dxa" w:w="426"/>
                </w:tcPr>
                <w:p>
                  <w:pPr>
                    <w:pStyle w:val="null3"/>
                  </w:pPr>
                  <w:r>
                    <w:rPr>
                      <w:rFonts w:ascii="仿宋_GB2312" w:hAnsi="仿宋_GB2312" w:cs="仿宋_GB2312" w:eastAsia="仿宋_GB2312"/>
                    </w:rPr>
                    <w:t>在生产、销售单位抽取6个样品（以农村市场为主）</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儿童服</w:t>
                  </w:r>
                </w:p>
              </w:tc>
              <w:tc>
                <w:tcPr>
                  <w:tcW w:type="dxa" w:w="426"/>
                </w:tcPr>
                <w:p>
                  <w:pPr>
                    <w:pStyle w:val="null3"/>
                  </w:pPr>
                  <w:r>
                    <w:rPr>
                      <w:rFonts w:ascii="仿宋_GB2312" w:hAnsi="仿宋_GB2312" w:cs="仿宋_GB2312" w:eastAsia="仿宋_GB2312"/>
                    </w:rPr>
                    <w:t>在生产、销售单位抽取10个样品（以农村市场为主）</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老年服</w:t>
                  </w:r>
                </w:p>
              </w:tc>
              <w:tc>
                <w:tcPr>
                  <w:tcW w:type="dxa" w:w="426"/>
                </w:tcPr>
                <w:p>
                  <w:pPr>
                    <w:pStyle w:val="null3"/>
                  </w:pPr>
                  <w:r>
                    <w:rPr>
                      <w:rFonts w:ascii="仿宋_GB2312" w:hAnsi="仿宋_GB2312" w:cs="仿宋_GB2312" w:eastAsia="仿宋_GB2312"/>
                    </w:rPr>
                    <w:t>在生产、销售单位抽取10个样品（以农村市场为主）</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本采购包预算80000元，包括但不限于本次项目所需采样费、检测费、设备费、劳务费、机械费、材料费、管理费、利润、税金、政策性文件规定的各项应有费用。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劳保服（工作服）产品质量检测：4460元/批次；儿童服产品质量检测：4480元/批次；老年服产品质量检测：1660元/批次。各供应商磋商报价不得超过总价及各分项的单价最高限价，否则视为无效报价。</w:t>
            </w:r>
          </w:p>
          <w:p>
            <w:pPr>
              <w:pStyle w:val="null3"/>
            </w:pPr>
            <w:r>
              <w:rPr>
                <w:rFonts w:ascii="仿宋_GB2312" w:hAnsi="仿宋_GB2312" w:cs="仿宋_GB2312" w:eastAsia="仿宋_GB2312"/>
              </w:rPr>
              <w:t>劳保服（工作服）、儿童服、老年服等纺织品质量监督抽检项目最终结算金额=劳保服（工作服）产品质量检测费用+儿童服产品质量检测费用+老年服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标的名称：节水器具、滴灌带、纸尿裤、卫生巾、一次性内裤、机动车发动机冷却液、机动车辆制动液、电动自行车头盔等产品质量监督抽检项目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1、功能要求：招标确定一家国家批准认证的第三方承检机构完成我局劳保服、纸尿裤、电线电缆、水泥等产品质量监督抽检任务。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节水器具：GB 18145-2014、GB/T 34549-2017、GB/T 6952-2015，滴灌带：GB/T 19812.1-2017、GB/T 19812.3-2017，纸尿裤：GB/T 28004.1-2021、GB/T 28004.2-2021，卫生巾：GB/T 8939-2018，一次性内裤：GB 15979-2002、GB 15979-2024，机动车发动机冷却液：GB 29743-2013，机动车辆制动液：GB 12981-2012，电动自行车头盔：GB 811-2022及相关要求，开展抽样检验工作。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劳保服（工作服）、儿童服、老年服等纺织品质量监督抽检项目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节水器具</w:t>
                  </w:r>
                </w:p>
              </w:tc>
              <w:tc>
                <w:tcPr>
                  <w:tcW w:type="dxa" w:w="426"/>
                </w:tcPr>
                <w:p>
                  <w:pPr>
                    <w:pStyle w:val="null3"/>
                  </w:pPr>
                  <w:r>
                    <w:rPr>
                      <w:rFonts w:ascii="仿宋_GB2312" w:hAnsi="仿宋_GB2312" w:cs="仿宋_GB2312" w:eastAsia="仿宋_GB2312"/>
                    </w:rPr>
                    <w:t>在生产、销售单位抽取10个样品（以农村市场为主）</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滴灌带</w:t>
                  </w:r>
                </w:p>
              </w:tc>
              <w:tc>
                <w:tcPr>
                  <w:tcW w:type="dxa" w:w="426"/>
                </w:tcPr>
                <w:p>
                  <w:pPr>
                    <w:pStyle w:val="null3"/>
                  </w:pPr>
                  <w:r>
                    <w:rPr>
                      <w:rFonts w:ascii="仿宋_GB2312" w:hAnsi="仿宋_GB2312" w:cs="仿宋_GB2312" w:eastAsia="仿宋_GB2312"/>
                    </w:rPr>
                    <w:t>在生产、销售单位抽取10个样品（以农村市场为主）</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纸尿裤</w:t>
                  </w:r>
                </w:p>
              </w:tc>
              <w:tc>
                <w:tcPr>
                  <w:tcW w:type="dxa" w:w="426"/>
                </w:tcPr>
                <w:p>
                  <w:pPr>
                    <w:pStyle w:val="null3"/>
                  </w:pPr>
                  <w:r>
                    <w:rPr>
                      <w:rFonts w:ascii="仿宋_GB2312" w:hAnsi="仿宋_GB2312" w:cs="仿宋_GB2312" w:eastAsia="仿宋_GB2312"/>
                    </w:rPr>
                    <w:t>在生产、销售单位抽取10个样品（以农村市场为主）</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卫生巾</w:t>
                  </w:r>
                </w:p>
              </w:tc>
              <w:tc>
                <w:tcPr>
                  <w:tcW w:type="dxa" w:w="426"/>
                </w:tcPr>
                <w:p>
                  <w:pPr>
                    <w:pStyle w:val="null3"/>
                  </w:pPr>
                  <w:r>
                    <w:rPr>
                      <w:rFonts w:ascii="仿宋_GB2312" w:hAnsi="仿宋_GB2312" w:cs="仿宋_GB2312" w:eastAsia="仿宋_GB2312"/>
                    </w:rPr>
                    <w:t>在生产、销售单位抽取10个样品（以农村市场为主）</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一次性内裤</w:t>
                  </w:r>
                </w:p>
              </w:tc>
              <w:tc>
                <w:tcPr>
                  <w:tcW w:type="dxa" w:w="426"/>
                </w:tcPr>
                <w:p>
                  <w:pPr>
                    <w:pStyle w:val="null3"/>
                  </w:pPr>
                  <w:r>
                    <w:rPr>
                      <w:rFonts w:ascii="仿宋_GB2312" w:hAnsi="仿宋_GB2312" w:cs="仿宋_GB2312" w:eastAsia="仿宋_GB2312"/>
                    </w:rPr>
                    <w:t>在生产、销售单位抽取8个样品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机动车发动机冷却液</w:t>
                  </w:r>
                </w:p>
              </w:tc>
              <w:tc>
                <w:tcPr>
                  <w:tcW w:type="dxa" w:w="426"/>
                </w:tcPr>
                <w:p>
                  <w:pPr>
                    <w:pStyle w:val="null3"/>
                  </w:pPr>
                  <w:r>
                    <w:rPr>
                      <w:rFonts w:ascii="仿宋_GB2312" w:hAnsi="仿宋_GB2312" w:cs="仿宋_GB2312" w:eastAsia="仿宋_GB2312"/>
                    </w:rPr>
                    <w:t>在生产、销售单位抽取10个样品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机动车辆制动液</w:t>
                  </w:r>
                </w:p>
              </w:tc>
              <w:tc>
                <w:tcPr>
                  <w:tcW w:type="dxa" w:w="426"/>
                </w:tcPr>
                <w:p>
                  <w:pPr>
                    <w:pStyle w:val="null3"/>
                  </w:pPr>
                  <w:r>
                    <w:rPr>
                      <w:rFonts w:ascii="仿宋_GB2312" w:hAnsi="仿宋_GB2312" w:cs="仿宋_GB2312" w:eastAsia="仿宋_GB2312"/>
                    </w:rPr>
                    <w:t>在生产、销售单位抽取10个样品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电动自行车头盔</w:t>
                  </w:r>
                </w:p>
              </w:tc>
              <w:tc>
                <w:tcPr>
                  <w:tcW w:type="dxa" w:w="426"/>
                </w:tcPr>
                <w:p>
                  <w:pPr>
                    <w:pStyle w:val="null3"/>
                  </w:pPr>
                  <w:r>
                    <w:rPr>
                      <w:rFonts w:ascii="仿宋_GB2312" w:hAnsi="仿宋_GB2312" w:cs="仿宋_GB2312" w:eastAsia="仿宋_GB2312"/>
                    </w:rPr>
                    <w:t>在生产、销售单位抽取5个样品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本采购包预算160000元，包括但不限于本次项目所需采样费、检测费、设备费、劳务费、机械费、材料费、管理费、利润、税金、政策性文件规定的各项应有费用。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节水器具产品质量检测：2260元/批次；滴灌带产品质量检测：2180元/批次；纸尿裤产品质量检测：2930元/批次；卫生巾产品质量检测：2760元/批次；一次性内裤产品质量检测：2780元/批次；机动车发动机冷却液产品质量检测：2160元/批次；机动车辆制动液产品质量检测：2290元/批次；电动自行车头盔产品质量检测：2230元/批次。各供应商磋商报价不得超过总价及各分项的单价最高限价，否则视为无效报价。</w:t>
            </w:r>
          </w:p>
          <w:p>
            <w:pPr>
              <w:pStyle w:val="null3"/>
            </w:pPr>
            <w:r>
              <w:rPr>
                <w:rFonts w:ascii="仿宋_GB2312" w:hAnsi="仿宋_GB2312" w:cs="仿宋_GB2312" w:eastAsia="仿宋_GB2312"/>
              </w:rPr>
              <w:t>节水器具、滴灌带、纸尿裤、卫生巾、一次性内裤、机动车发动机冷却液、机动车辆制动液、电动自行车头盔等产品质量监督抽检项目最终结算金额=节水器具产品质量检测费用+滴灌带产品质量检测费用+纸尿裤产品质量检测费用+卫生巾产品质量检测费用+一次性内裤产品质量检测费用+机动车发动机冷却液产品质量检测费用+机动车辆制动液产品质量检测费用+电动自行车头盔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标的名称：电线电缆、水泥、钢筋、洗涤用品、羊绒衫、羊毛衫、羽绒服、正丁醇、护眼灯、笔袋、中性墨水圆珠笔和笔芯等产品质量监督抽检项目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1、功能要求：招标确定一家国家批准认证的第三方承检机构完成我局劳保服、纸尿裤、电线电缆、水泥等产品质量监督抽检任务。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严格按照严格按照电线电缆：GB/T 5023.3-2008、GB/T 5023.5-2008、JB/T 8734.2-2016、JB/T 8734.3-2016、GB/T 5013.4-2008、JB/T 8735.2-2016、GB/T 12527-2008、GB/T 14049-2008、GB/T 9330-2020、GB/T 19666-2019、GB/T 12706.1-2020、GB/T 12706.2-2020 、GB/T 12706.3-2020、JB/T 10491-2022，水泥：GB 175-2023、GB/T 10238-2015，钢筋：GB 1499.1-2024、GB 1499.2-2024、GB 13788-2024，洗涤用品：QB/T 1224-2012、GB/T 13171.1-2009、 GB/T 13171.2-2009、GB/T 34855-2017、GB 19877.1-2005、GB/T 34857-2017、QB/T 4535-2013，羊绒衫、羊毛衫：FZ/T 73009-2021、 FZ/T 73005-2021，羽绒服：FZ/T 73053-2015，正丁醇：GB/T6027-2023，护眼灯：GB7000.1-2023、GB7000.204-2023、GB7000.1-2023、GB 7000.201-2008，笔袋：QB/T 2772-2017，中性墨水圆珠笔和笔芯：GB/T 37853-2019及相关要求，开展抽样检验工作。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电线电缆、水泥、钢筋、洗涤用品、羊绒衫、羊毛衫、羽绒服、正丁醇、护眼灯、学生服包、笔袋、中性墨水圆珠笔和笔芯等产品质量监督抽检项目</w:t>
                  </w:r>
                </w:p>
                <w:p>
                  <w:pPr>
                    <w:pStyle w:val="null3"/>
                  </w:pPr>
                  <w:r>
                    <w:rPr>
                      <w:rFonts w:ascii="仿宋_GB2312" w:hAnsi="仿宋_GB2312" w:cs="仿宋_GB2312" w:eastAsia="仿宋_GB2312"/>
                    </w:rPr>
                    <w:t xml:space="preserve"> </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电线电缆</w:t>
                  </w:r>
                </w:p>
              </w:tc>
              <w:tc>
                <w:tcPr>
                  <w:tcW w:type="dxa" w:w="426"/>
                </w:tcPr>
                <w:p>
                  <w:pPr>
                    <w:pStyle w:val="null3"/>
                  </w:pPr>
                  <w:r>
                    <w:rPr>
                      <w:rFonts w:ascii="仿宋_GB2312" w:hAnsi="仿宋_GB2312" w:cs="仿宋_GB2312" w:eastAsia="仿宋_GB2312"/>
                    </w:rPr>
                    <w:t>在生产单位抽取4个样品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水泥</w:t>
                  </w:r>
                </w:p>
              </w:tc>
              <w:tc>
                <w:tcPr>
                  <w:tcW w:type="dxa" w:w="426"/>
                </w:tcPr>
                <w:p>
                  <w:pPr>
                    <w:pStyle w:val="null3"/>
                  </w:pPr>
                  <w:r>
                    <w:rPr>
                      <w:rFonts w:ascii="仿宋_GB2312" w:hAnsi="仿宋_GB2312" w:cs="仿宋_GB2312" w:eastAsia="仿宋_GB2312"/>
                    </w:rPr>
                    <w:t>在生产单位抽取8个样品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钢筋</w:t>
                  </w:r>
                </w:p>
              </w:tc>
              <w:tc>
                <w:tcPr>
                  <w:tcW w:type="dxa" w:w="426"/>
                </w:tcPr>
                <w:p>
                  <w:pPr>
                    <w:pStyle w:val="null3"/>
                  </w:pPr>
                  <w:r>
                    <w:rPr>
                      <w:rFonts w:ascii="仿宋_GB2312" w:hAnsi="仿宋_GB2312" w:cs="仿宋_GB2312" w:eastAsia="仿宋_GB2312"/>
                    </w:rPr>
                    <w:t>在生产、销售单位抽取10个样品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洗涤用品</w:t>
                  </w:r>
                </w:p>
              </w:tc>
              <w:tc>
                <w:tcPr>
                  <w:tcW w:type="dxa" w:w="426"/>
                </w:tcPr>
                <w:p>
                  <w:pPr>
                    <w:pStyle w:val="null3"/>
                  </w:pPr>
                  <w:r>
                    <w:rPr>
                      <w:rFonts w:ascii="仿宋_GB2312" w:hAnsi="仿宋_GB2312" w:cs="仿宋_GB2312" w:eastAsia="仿宋_GB2312"/>
                    </w:rPr>
                    <w:t>在生产、销售单位抽取10个样品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羊绒衫、羊毛衫</w:t>
                  </w:r>
                </w:p>
              </w:tc>
              <w:tc>
                <w:tcPr>
                  <w:tcW w:type="dxa" w:w="426"/>
                </w:tcPr>
                <w:p>
                  <w:pPr>
                    <w:pStyle w:val="null3"/>
                  </w:pPr>
                  <w:r>
                    <w:rPr>
                      <w:rFonts w:ascii="仿宋_GB2312" w:hAnsi="仿宋_GB2312" w:cs="仿宋_GB2312" w:eastAsia="仿宋_GB2312"/>
                    </w:rPr>
                    <w:t>在生产、销售单位抽取5个样品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羽绒服</w:t>
                  </w:r>
                </w:p>
              </w:tc>
              <w:tc>
                <w:tcPr>
                  <w:tcW w:type="dxa" w:w="426"/>
                </w:tcPr>
                <w:p>
                  <w:pPr>
                    <w:pStyle w:val="null3"/>
                  </w:pPr>
                  <w:r>
                    <w:rPr>
                      <w:rFonts w:ascii="仿宋_GB2312" w:hAnsi="仿宋_GB2312" w:cs="仿宋_GB2312" w:eastAsia="仿宋_GB2312"/>
                    </w:rPr>
                    <w:t>在生产销售单位抽取5个样品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正丁醇</w:t>
                  </w:r>
                </w:p>
              </w:tc>
              <w:tc>
                <w:tcPr>
                  <w:tcW w:type="dxa" w:w="426"/>
                </w:tcPr>
                <w:p>
                  <w:pPr>
                    <w:pStyle w:val="null3"/>
                  </w:pPr>
                  <w:r>
                    <w:rPr>
                      <w:rFonts w:ascii="仿宋_GB2312" w:hAnsi="仿宋_GB2312" w:cs="仿宋_GB2312" w:eastAsia="仿宋_GB2312"/>
                    </w:rPr>
                    <w:t>在生产企业抽取1个样品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护眼灯</w:t>
                  </w:r>
                </w:p>
              </w:tc>
              <w:tc>
                <w:tcPr>
                  <w:tcW w:type="dxa" w:w="426"/>
                </w:tcPr>
                <w:p>
                  <w:pPr>
                    <w:pStyle w:val="null3"/>
                  </w:pPr>
                  <w:r>
                    <w:rPr>
                      <w:rFonts w:ascii="仿宋_GB2312" w:hAnsi="仿宋_GB2312" w:cs="仿宋_GB2312" w:eastAsia="仿宋_GB2312"/>
                    </w:rPr>
                    <w:t>在销售单位抽取10个样品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笔袋</w:t>
                  </w:r>
                </w:p>
              </w:tc>
              <w:tc>
                <w:tcPr>
                  <w:tcW w:type="dxa" w:w="426"/>
                </w:tcPr>
                <w:p>
                  <w:pPr>
                    <w:pStyle w:val="null3"/>
                  </w:pPr>
                  <w:r>
                    <w:rPr>
                      <w:rFonts w:ascii="仿宋_GB2312" w:hAnsi="仿宋_GB2312" w:cs="仿宋_GB2312" w:eastAsia="仿宋_GB2312"/>
                    </w:rPr>
                    <w:t>在生产销售单位抽取10个样品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中性墨水圆珠笔和笔芯</w:t>
                  </w:r>
                </w:p>
              </w:tc>
              <w:tc>
                <w:tcPr>
                  <w:tcW w:type="dxa" w:w="426"/>
                </w:tcPr>
                <w:p>
                  <w:pPr>
                    <w:pStyle w:val="null3"/>
                  </w:pPr>
                  <w:r>
                    <w:rPr>
                      <w:rFonts w:ascii="仿宋_GB2312" w:hAnsi="仿宋_GB2312" w:cs="仿宋_GB2312" w:eastAsia="仿宋_GB2312"/>
                    </w:rPr>
                    <w:t>在生产销售单位抽取15个样品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本采购包预算160000元，包括但不限于本次项目所需采样费、检测费、设备费、劳务费、机械费、材料费、管理费、利润、税金、政策性文件规定的各项应有费用。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电线电缆产品质量检测：2880元/批次；水泥产品质量检测：3190元/批次；钢筋产品质量检测：2260元/批次；洗涤用品产品质量检测：2760元/批次；羊绒衫、羊毛衫产品质量检测：2230元/批次；羽绒服产品质量检测：2350元/批次；正丁醇产品质量检测：2190元/批次；护眼灯产品质量检测：1790元/批次；笔袋产品质量检测：1460元/批次；中性墨水圆珠笔和笔芯产品质量检测：1260元/批次。各供应商磋商报价不得超过总价及各分项的单价最高限价，否则视为无效报价。</w:t>
            </w:r>
          </w:p>
          <w:p>
            <w:pPr>
              <w:pStyle w:val="null3"/>
            </w:pPr>
            <w:r>
              <w:rPr>
                <w:rFonts w:ascii="仿宋_GB2312" w:hAnsi="仿宋_GB2312" w:cs="仿宋_GB2312" w:eastAsia="仿宋_GB2312"/>
              </w:rPr>
              <w:t>电线电缆、水泥、钢筋、洗涤用品、羊绒衫、羊毛衫、羽绒服、正丁醇、护眼灯、笔袋、中性墨水圆珠笔和笔芯等产品质量监督抽检项目最终结算金额=电线电缆产品质量检测费用+水泥产品质量检测费用+钢筋产品质量检测费用+洗涤用品产品质量检测费用+羊绒衫、羊毛衫产品质量检测费用+羽绒服产品质量检测费用+正丁醇产品质量检测费用+护眼灯产品质量检测费用+笔袋产品质量检测费用+中性墨水圆珠笔和笔芯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合同签订之日起至2025年12月30日（具体以合同签订时间为准）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合同签订之日起至2025年12月30日（具体以合同签订时间为准）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合同签订之日起至2025年12月30日（具体以合同签订时间为准）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渭南市区域范围内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壹套。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 分项报价表包1.docx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标的清单 分项报价表包1.docx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分项报价表包2.docx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分项报价表包2.docx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服务承诺.docx 项目实施方案.docx 服务偏离表.docx 资格证明文件.docx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分项报价表包3.docx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分项报价表包3.docx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服务偏离表.docx 资格证明文件.docx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分项报价表包1.docx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分项报价表包2.docx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分项报价表包3.docx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详见附件：分项报价表包1.docx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详见附件：分项报价表包2.docx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详见附件：分项报价表包3.docx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